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01842" w14:textId="3DD29A0F" w:rsidR="003A49A1" w:rsidRPr="006D793B" w:rsidRDefault="003A49A1" w:rsidP="003A49A1">
      <w:pPr>
        <w:jc w:val="both"/>
        <w:rPr>
          <w:rFonts w:ascii="Century Gothic" w:hAnsi="Century Gothic"/>
          <w:b/>
          <w:bCs/>
          <w:sz w:val="22"/>
          <w:szCs w:val="22"/>
        </w:rPr>
      </w:pPr>
      <w:r w:rsidRPr="003A49A1">
        <w:rPr>
          <w:rFonts w:ascii="Century Gothic" w:hAnsi="Century Gothic"/>
          <w:b/>
          <w:bCs/>
          <w:sz w:val="22"/>
          <w:szCs w:val="22"/>
        </w:rPr>
        <w:t>CONSTANCIA DE MANIFESTACIÓN DE ENTREGA E IMPOSIBILIDAD DE RECEPCIÓN MATERIAL DEL INMUEBLE POR CONDICIONES DE INHABITABILIDAD</w:t>
      </w:r>
    </w:p>
    <w:tbl>
      <w:tblPr>
        <w:tblStyle w:val="Tablaconcuadrcula"/>
        <w:tblW w:w="0" w:type="auto"/>
        <w:tblLook w:val="04A0" w:firstRow="1" w:lastRow="0" w:firstColumn="1" w:lastColumn="0" w:noHBand="0" w:noVBand="1"/>
      </w:tblPr>
      <w:tblGrid>
        <w:gridCol w:w="3823"/>
        <w:gridCol w:w="5005"/>
      </w:tblGrid>
      <w:tr w:rsidR="003A49A1" w14:paraId="6526F10F" w14:textId="77777777" w:rsidTr="003A49A1">
        <w:tc>
          <w:tcPr>
            <w:tcW w:w="3823" w:type="dxa"/>
          </w:tcPr>
          <w:p w14:paraId="2C83EF81" w14:textId="29EFE717" w:rsidR="003A49A1" w:rsidRDefault="003A49A1" w:rsidP="003A49A1">
            <w:pPr>
              <w:jc w:val="both"/>
              <w:rPr>
                <w:rFonts w:ascii="Century Gothic" w:hAnsi="Century Gothic"/>
                <w:sz w:val="22"/>
                <w:szCs w:val="22"/>
              </w:rPr>
            </w:pPr>
            <w:r>
              <w:rPr>
                <w:rFonts w:ascii="Century Gothic" w:hAnsi="Century Gothic"/>
                <w:sz w:val="22"/>
                <w:szCs w:val="22"/>
              </w:rPr>
              <w:t>ARRENDATARIO</w:t>
            </w:r>
          </w:p>
        </w:tc>
        <w:tc>
          <w:tcPr>
            <w:tcW w:w="5005" w:type="dxa"/>
          </w:tcPr>
          <w:p w14:paraId="5C87E9F3" w14:textId="77777777" w:rsidR="003A49A1" w:rsidRDefault="003A49A1" w:rsidP="003A49A1">
            <w:pPr>
              <w:jc w:val="both"/>
              <w:rPr>
                <w:rFonts w:ascii="Century Gothic" w:hAnsi="Century Gothic"/>
                <w:sz w:val="22"/>
                <w:szCs w:val="22"/>
              </w:rPr>
            </w:pPr>
          </w:p>
        </w:tc>
      </w:tr>
      <w:tr w:rsidR="003A49A1" w14:paraId="1F626EAE" w14:textId="77777777" w:rsidTr="003A49A1">
        <w:tc>
          <w:tcPr>
            <w:tcW w:w="3823" w:type="dxa"/>
          </w:tcPr>
          <w:p w14:paraId="21FAA7DD" w14:textId="1F51EF63" w:rsidR="003A49A1" w:rsidRDefault="003A49A1" w:rsidP="003A49A1">
            <w:pPr>
              <w:jc w:val="both"/>
              <w:rPr>
                <w:rFonts w:ascii="Century Gothic" w:hAnsi="Century Gothic"/>
                <w:sz w:val="22"/>
                <w:szCs w:val="22"/>
              </w:rPr>
            </w:pPr>
            <w:r>
              <w:rPr>
                <w:rFonts w:ascii="Century Gothic" w:hAnsi="Century Gothic"/>
                <w:sz w:val="22"/>
                <w:szCs w:val="22"/>
              </w:rPr>
              <w:t>CEDULA</w:t>
            </w:r>
          </w:p>
        </w:tc>
        <w:tc>
          <w:tcPr>
            <w:tcW w:w="5005" w:type="dxa"/>
          </w:tcPr>
          <w:p w14:paraId="280693D7" w14:textId="77777777" w:rsidR="003A49A1" w:rsidRDefault="003A49A1" w:rsidP="003A49A1">
            <w:pPr>
              <w:jc w:val="both"/>
              <w:rPr>
                <w:rFonts w:ascii="Century Gothic" w:hAnsi="Century Gothic"/>
                <w:sz w:val="22"/>
                <w:szCs w:val="22"/>
              </w:rPr>
            </w:pPr>
          </w:p>
        </w:tc>
      </w:tr>
      <w:tr w:rsidR="003A49A1" w14:paraId="2535BC8D" w14:textId="77777777" w:rsidTr="003A49A1">
        <w:tc>
          <w:tcPr>
            <w:tcW w:w="3823" w:type="dxa"/>
          </w:tcPr>
          <w:p w14:paraId="1E3CDF4E" w14:textId="3BC4E6C8" w:rsidR="003A49A1" w:rsidRDefault="003A49A1" w:rsidP="003A49A1">
            <w:pPr>
              <w:jc w:val="both"/>
              <w:rPr>
                <w:rFonts w:ascii="Century Gothic" w:hAnsi="Century Gothic"/>
                <w:sz w:val="22"/>
                <w:szCs w:val="22"/>
              </w:rPr>
            </w:pPr>
            <w:r>
              <w:rPr>
                <w:rFonts w:ascii="Century Gothic" w:hAnsi="Century Gothic"/>
                <w:sz w:val="22"/>
                <w:szCs w:val="22"/>
              </w:rPr>
              <w:t>DIRECCION DEL INMUEBLE</w:t>
            </w:r>
          </w:p>
        </w:tc>
        <w:tc>
          <w:tcPr>
            <w:tcW w:w="5005" w:type="dxa"/>
          </w:tcPr>
          <w:p w14:paraId="204F81DD" w14:textId="77777777" w:rsidR="003A49A1" w:rsidRDefault="003A49A1" w:rsidP="003A49A1">
            <w:pPr>
              <w:jc w:val="both"/>
              <w:rPr>
                <w:rFonts w:ascii="Century Gothic" w:hAnsi="Century Gothic"/>
                <w:sz w:val="22"/>
                <w:szCs w:val="22"/>
              </w:rPr>
            </w:pPr>
          </w:p>
        </w:tc>
      </w:tr>
      <w:tr w:rsidR="003A49A1" w14:paraId="0E54A2B9" w14:textId="77777777" w:rsidTr="003A49A1">
        <w:tc>
          <w:tcPr>
            <w:tcW w:w="3823" w:type="dxa"/>
          </w:tcPr>
          <w:p w14:paraId="198F28B8" w14:textId="64D4E8DB" w:rsidR="003A49A1" w:rsidRDefault="003A49A1" w:rsidP="003A49A1">
            <w:pPr>
              <w:jc w:val="both"/>
              <w:rPr>
                <w:rFonts w:ascii="Century Gothic" w:hAnsi="Century Gothic"/>
                <w:sz w:val="22"/>
                <w:szCs w:val="22"/>
              </w:rPr>
            </w:pPr>
            <w:r>
              <w:rPr>
                <w:rFonts w:ascii="Century Gothic" w:hAnsi="Century Gothic"/>
                <w:sz w:val="22"/>
                <w:szCs w:val="22"/>
              </w:rPr>
              <w:t>ARRENDADOR</w:t>
            </w:r>
          </w:p>
        </w:tc>
        <w:tc>
          <w:tcPr>
            <w:tcW w:w="5005" w:type="dxa"/>
          </w:tcPr>
          <w:p w14:paraId="2419D6DD" w14:textId="77777777" w:rsidR="003A49A1" w:rsidRDefault="003A49A1" w:rsidP="003A49A1">
            <w:pPr>
              <w:jc w:val="both"/>
              <w:rPr>
                <w:rFonts w:ascii="Century Gothic" w:hAnsi="Century Gothic"/>
                <w:sz w:val="22"/>
                <w:szCs w:val="22"/>
              </w:rPr>
            </w:pPr>
          </w:p>
        </w:tc>
      </w:tr>
      <w:tr w:rsidR="003A49A1" w14:paraId="15F47EF3" w14:textId="77777777" w:rsidTr="003A49A1">
        <w:tc>
          <w:tcPr>
            <w:tcW w:w="3823" w:type="dxa"/>
          </w:tcPr>
          <w:p w14:paraId="405C203B" w14:textId="73FE54AE" w:rsidR="003A49A1" w:rsidRDefault="003A49A1" w:rsidP="003A49A1">
            <w:pPr>
              <w:jc w:val="both"/>
              <w:rPr>
                <w:rFonts w:ascii="Century Gothic" w:hAnsi="Century Gothic"/>
                <w:sz w:val="22"/>
                <w:szCs w:val="22"/>
              </w:rPr>
            </w:pPr>
            <w:r>
              <w:rPr>
                <w:rFonts w:ascii="Century Gothic" w:hAnsi="Century Gothic"/>
                <w:sz w:val="22"/>
                <w:szCs w:val="22"/>
              </w:rPr>
              <w:t>FECHA</w:t>
            </w:r>
          </w:p>
        </w:tc>
        <w:tc>
          <w:tcPr>
            <w:tcW w:w="5005" w:type="dxa"/>
          </w:tcPr>
          <w:p w14:paraId="294D4FA0" w14:textId="77777777" w:rsidR="003A49A1" w:rsidRDefault="003A49A1" w:rsidP="003A49A1">
            <w:pPr>
              <w:jc w:val="both"/>
              <w:rPr>
                <w:rFonts w:ascii="Century Gothic" w:hAnsi="Century Gothic"/>
                <w:sz w:val="22"/>
                <w:szCs w:val="22"/>
              </w:rPr>
            </w:pPr>
          </w:p>
        </w:tc>
      </w:tr>
    </w:tbl>
    <w:p w14:paraId="719B9C82" w14:textId="77777777" w:rsidR="003A49A1" w:rsidRPr="003A49A1" w:rsidRDefault="003A49A1" w:rsidP="003A49A1">
      <w:pPr>
        <w:jc w:val="both"/>
        <w:rPr>
          <w:rFonts w:ascii="Century Gothic" w:hAnsi="Century Gothic"/>
          <w:sz w:val="22"/>
          <w:szCs w:val="22"/>
        </w:rPr>
      </w:pPr>
    </w:p>
    <w:p w14:paraId="72FB5202" w14:textId="77777777" w:rsidR="003A49A1" w:rsidRPr="003A49A1" w:rsidRDefault="003A49A1" w:rsidP="003A49A1">
      <w:pPr>
        <w:jc w:val="both"/>
        <w:rPr>
          <w:rFonts w:ascii="Century Gothic" w:hAnsi="Century Gothic"/>
          <w:sz w:val="22"/>
          <w:szCs w:val="22"/>
        </w:rPr>
      </w:pPr>
      <w:r w:rsidRPr="003A49A1">
        <w:rPr>
          <w:rFonts w:ascii="Century Gothic" w:hAnsi="Century Gothic"/>
          <w:b/>
          <w:bCs/>
          <w:sz w:val="22"/>
          <w:szCs w:val="22"/>
        </w:rPr>
        <w:t>[NOMBRE DE LA INMOBILIARIA]</w:t>
      </w:r>
      <w:r w:rsidRPr="003A49A1">
        <w:rPr>
          <w:rFonts w:ascii="Century Gothic" w:hAnsi="Century Gothic"/>
          <w:sz w:val="22"/>
          <w:szCs w:val="22"/>
        </w:rPr>
        <w:t xml:space="preserve">, en calidad de </w:t>
      </w:r>
      <w:r w:rsidRPr="003A49A1">
        <w:rPr>
          <w:rFonts w:ascii="Century Gothic" w:hAnsi="Century Gothic"/>
          <w:b/>
          <w:bCs/>
          <w:sz w:val="22"/>
          <w:szCs w:val="22"/>
        </w:rPr>
        <w:t>[arrendadora/administradora]</w:t>
      </w:r>
      <w:r w:rsidRPr="003A49A1">
        <w:rPr>
          <w:rFonts w:ascii="Century Gothic" w:hAnsi="Century Gothic"/>
          <w:sz w:val="22"/>
          <w:szCs w:val="22"/>
        </w:rPr>
        <w:t xml:space="preserve"> del inmueble identificado en la referencia, se permite dejar constancia de las circunstancias relacionadas con la entrega del inmueble, en los siguientes términos:</w:t>
      </w:r>
    </w:p>
    <w:p w14:paraId="2E860A31" w14:textId="3A7BE37A" w:rsidR="003A49A1" w:rsidRPr="003A49A1" w:rsidRDefault="003A49A1" w:rsidP="003A49A1">
      <w:pPr>
        <w:jc w:val="both"/>
        <w:rPr>
          <w:rFonts w:ascii="Century Gothic" w:hAnsi="Century Gothic"/>
          <w:b/>
          <w:bCs/>
          <w:sz w:val="22"/>
          <w:szCs w:val="22"/>
        </w:rPr>
      </w:pPr>
      <w:r w:rsidRPr="003A49A1">
        <w:rPr>
          <w:rFonts w:ascii="Century Gothic" w:hAnsi="Century Gothic"/>
          <w:b/>
          <w:bCs/>
          <w:sz w:val="22"/>
          <w:szCs w:val="22"/>
        </w:rPr>
        <w:t xml:space="preserve">1. </w:t>
      </w:r>
      <w:r w:rsidR="006D793B">
        <w:rPr>
          <w:rFonts w:ascii="Century Gothic" w:hAnsi="Century Gothic"/>
          <w:b/>
          <w:bCs/>
          <w:sz w:val="22"/>
          <w:szCs w:val="22"/>
        </w:rPr>
        <w:t>MANIFESTACION DE ENTREGA</w:t>
      </w:r>
    </w:p>
    <w:p w14:paraId="04673474" w14:textId="2906D479" w:rsidR="00CF70BD" w:rsidRPr="00CF70BD" w:rsidRDefault="00CF70BD" w:rsidP="00CF70BD">
      <w:pPr>
        <w:jc w:val="both"/>
        <w:rPr>
          <w:rFonts w:ascii="Century Gothic" w:hAnsi="Century Gothic"/>
          <w:sz w:val="22"/>
          <w:szCs w:val="22"/>
        </w:rPr>
      </w:pPr>
      <w:r w:rsidRPr="00CF70BD">
        <w:rPr>
          <w:rFonts w:ascii="Century Gothic" w:hAnsi="Century Gothic"/>
          <w:sz w:val="22"/>
          <w:szCs w:val="22"/>
        </w:rPr>
        <w:t xml:space="preserve">En fecha </w:t>
      </w:r>
      <w:proofErr w:type="spellStart"/>
      <w:r>
        <w:rPr>
          <w:rFonts w:ascii="Century Gothic" w:hAnsi="Century Gothic"/>
          <w:b/>
          <w:bCs/>
          <w:sz w:val="22"/>
          <w:szCs w:val="22"/>
        </w:rPr>
        <w:t>xxxxxxxxxx</w:t>
      </w:r>
      <w:proofErr w:type="spellEnd"/>
      <w:r w:rsidRPr="00CF70BD">
        <w:rPr>
          <w:rFonts w:ascii="Century Gothic" w:hAnsi="Century Gothic"/>
          <w:sz w:val="22"/>
          <w:szCs w:val="22"/>
        </w:rPr>
        <w:t xml:space="preserve"> el(la) señor(a) </w:t>
      </w:r>
      <w:r w:rsidRPr="00CF70BD">
        <w:rPr>
          <w:rFonts w:ascii="Century Gothic" w:hAnsi="Century Gothic"/>
          <w:b/>
          <w:bCs/>
          <w:sz w:val="22"/>
          <w:szCs w:val="22"/>
        </w:rPr>
        <w:t>[NOMBRE DEL ARRENDATARIO]</w:t>
      </w:r>
      <w:r w:rsidRPr="00CF70BD">
        <w:rPr>
          <w:rFonts w:ascii="Century Gothic" w:hAnsi="Century Gothic"/>
          <w:sz w:val="22"/>
          <w:szCs w:val="22"/>
        </w:rPr>
        <w:t xml:space="preserve">, identificado(a) con cédula de ciudadanía No. </w:t>
      </w:r>
      <w:r w:rsidRPr="00CF70BD">
        <w:rPr>
          <w:rFonts w:ascii="Century Gothic" w:hAnsi="Century Gothic"/>
          <w:b/>
          <w:bCs/>
          <w:sz w:val="22"/>
          <w:szCs w:val="22"/>
        </w:rPr>
        <w:t>[NÚMERO]</w:t>
      </w:r>
      <w:r w:rsidRPr="00CF70BD">
        <w:rPr>
          <w:rFonts w:ascii="Century Gothic" w:hAnsi="Century Gothic"/>
          <w:sz w:val="22"/>
          <w:szCs w:val="22"/>
        </w:rPr>
        <w:t xml:space="preserve">, en calidad de arrendatario(a), manifestó su decisión de hacer entrega del inmueble objeto del contrato de arrendamiento, con ocasión de las condiciones de habitabilidad y seguridad en que este se encuentra como consecuencia del evento sísmico ocurrido el </w:t>
      </w:r>
      <w:r w:rsidRPr="00CF70BD">
        <w:rPr>
          <w:rFonts w:ascii="Century Gothic" w:hAnsi="Century Gothic"/>
          <w:b/>
          <w:bCs/>
          <w:sz w:val="22"/>
          <w:szCs w:val="22"/>
        </w:rPr>
        <w:t>10 de agosto de 2026</w:t>
      </w:r>
      <w:r w:rsidRPr="00CF70BD">
        <w:rPr>
          <w:rFonts w:ascii="Century Gothic" w:hAnsi="Century Gothic"/>
          <w:sz w:val="22"/>
          <w:szCs w:val="22"/>
        </w:rPr>
        <w:t>.</w:t>
      </w:r>
    </w:p>
    <w:p w14:paraId="0653F08E" w14:textId="77777777" w:rsidR="00CF70BD" w:rsidRPr="00CF70BD" w:rsidRDefault="00CF70BD" w:rsidP="00CF70BD">
      <w:pPr>
        <w:jc w:val="both"/>
        <w:rPr>
          <w:rFonts w:ascii="Century Gothic" w:hAnsi="Century Gothic"/>
          <w:sz w:val="22"/>
          <w:szCs w:val="22"/>
        </w:rPr>
      </w:pPr>
      <w:r w:rsidRPr="00CF70BD">
        <w:rPr>
          <w:rFonts w:ascii="Century Gothic" w:hAnsi="Century Gothic"/>
          <w:sz w:val="22"/>
          <w:szCs w:val="22"/>
        </w:rPr>
        <w:t>La inmobiliaria deja constancia de haber recibido dicha manifestación y de su disposición para adelantar las actuaciones correspondientes frente a la situación presentada.</w:t>
      </w:r>
    </w:p>
    <w:p w14:paraId="4C78C5AB" w14:textId="0619D8C9" w:rsidR="003A49A1" w:rsidRPr="003A49A1" w:rsidRDefault="003A49A1" w:rsidP="003A49A1">
      <w:pPr>
        <w:jc w:val="both"/>
        <w:rPr>
          <w:rFonts w:ascii="Century Gothic" w:hAnsi="Century Gothic"/>
          <w:b/>
          <w:bCs/>
          <w:sz w:val="22"/>
          <w:szCs w:val="22"/>
        </w:rPr>
      </w:pPr>
      <w:r w:rsidRPr="003A49A1">
        <w:rPr>
          <w:rFonts w:ascii="Century Gothic" w:hAnsi="Century Gothic"/>
          <w:b/>
          <w:bCs/>
          <w:sz w:val="22"/>
          <w:szCs w:val="22"/>
        </w:rPr>
        <w:t xml:space="preserve">2. </w:t>
      </w:r>
      <w:r w:rsidR="006D793B">
        <w:rPr>
          <w:rFonts w:ascii="Century Gothic" w:hAnsi="Century Gothic"/>
          <w:b/>
          <w:bCs/>
          <w:sz w:val="22"/>
          <w:szCs w:val="22"/>
        </w:rPr>
        <w:t>IMPOSIBILIDAD DE REALIZAR ENTREGA MATERIAL</w:t>
      </w:r>
    </w:p>
    <w:p w14:paraId="2F962803" w14:textId="45820CC4" w:rsidR="00CF70BD" w:rsidRPr="00CF70BD" w:rsidRDefault="00CF70BD" w:rsidP="00CF70BD">
      <w:pPr>
        <w:jc w:val="both"/>
        <w:rPr>
          <w:rFonts w:ascii="Century Gothic" w:hAnsi="Century Gothic"/>
          <w:sz w:val="22"/>
          <w:szCs w:val="22"/>
        </w:rPr>
      </w:pPr>
      <w:r w:rsidRPr="00CF70BD">
        <w:rPr>
          <w:rFonts w:ascii="Century Gothic" w:hAnsi="Century Gothic"/>
          <w:sz w:val="22"/>
          <w:szCs w:val="22"/>
        </w:rPr>
        <w:t xml:space="preserve">No </w:t>
      </w:r>
      <w:r w:rsidRPr="00CF70BD">
        <w:rPr>
          <w:rFonts w:ascii="Century Gothic" w:hAnsi="Century Gothic"/>
          <w:sz w:val="22"/>
          <w:szCs w:val="22"/>
        </w:rPr>
        <w:t>obstante,</w:t>
      </w:r>
      <w:r w:rsidRPr="00CF70BD">
        <w:rPr>
          <w:rFonts w:ascii="Century Gothic" w:hAnsi="Century Gothic"/>
          <w:sz w:val="22"/>
          <w:szCs w:val="22"/>
        </w:rPr>
        <w:t xml:space="preserve"> lo anterior, a la fecha de la presente constancia </w:t>
      </w:r>
      <w:r w:rsidRPr="00CF70BD">
        <w:rPr>
          <w:rFonts w:ascii="Century Gothic" w:hAnsi="Century Gothic"/>
          <w:b/>
          <w:bCs/>
          <w:sz w:val="22"/>
          <w:szCs w:val="22"/>
        </w:rPr>
        <w:t>no es posible realizar la recepción material del inmueble</w:t>
      </w:r>
      <w:r w:rsidRPr="00CF70BD">
        <w:rPr>
          <w:rFonts w:ascii="Century Gothic" w:hAnsi="Century Gothic"/>
          <w:sz w:val="22"/>
          <w:szCs w:val="22"/>
        </w:rPr>
        <w:t xml:space="preserve">, toda vez que este presenta afectaciones como consecuencia del evento sísmico y se encuentra declarado </w:t>
      </w:r>
      <w:r w:rsidRPr="00CF70BD">
        <w:rPr>
          <w:rFonts w:ascii="Century Gothic" w:hAnsi="Century Gothic"/>
          <w:b/>
          <w:bCs/>
          <w:sz w:val="22"/>
          <w:szCs w:val="22"/>
        </w:rPr>
        <w:t>inhabitable y/o con restricción de ingreso</w:t>
      </w:r>
      <w:r w:rsidRPr="00CF70BD">
        <w:rPr>
          <w:rFonts w:ascii="Century Gothic" w:hAnsi="Century Gothic"/>
          <w:sz w:val="22"/>
          <w:szCs w:val="22"/>
        </w:rPr>
        <w:t>, por lo que no existen condiciones de seguridad que permitan el acceso de la inmobiliaria, del arrendatario, del propietario o de terceros para realizar una diligencia ordinaria de entrega.</w:t>
      </w:r>
    </w:p>
    <w:p w14:paraId="2E89C7F8" w14:textId="77777777" w:rsidR="00CF70BD" w:rsidRPr="00CF70BD" w:rsidRDefault="00CF70BD" w:rsidP="00CF70BD">
      <w:pPr>
        <w:jc w:val="both"/>
        <w:rPr>
          <w:rFonts w:ascii="Century Gothic" w:hAnsi="Century Gothic"/>
          <w:sz w:val="22"/>
          <w:szCs w:val="22"/>
        </w:rPr>
      </w:pPr>
      <w:r w:rsidRPr="00CF70BD">
        <w:rPr>
          <w:rFonts w:ascii="Century Gothic" w:hAnsi="Century Gothic"/>
          <w:sz w:val="22"/>
          <w:szCs w:val="22"/>
        </w:rPr>
        <w:t>En consecuencia, no ha sido posible realizar una evaluación física del inmueble, verificar su estado, confrontar el inventario, efectuar el correspondiente registro fotográfico, revisar sus instalaciones ni adelantar las demás actividades propias de una diligencia ordinaria de recepción.</w:t>
      </w:r>
    </w:p>
    <w:p w14:paraId="76C93681" w14:textId="77777777" w:rsidR="00CF70BD" w:rsidRPr="00CF70BD" w:rsidRDefault="00CF70BD" w:rsidP="00CF70BD">
      <w:pPr>
        <w:jc w:val="both"/>
        <w:rPr>
          <w:rFonts w:ascii="Century Gothic" w:hAnsi="Century Gothic"/>
          <w:sz w:val="22"/>
          <w:szCs w:val="22"/>
        </w:rPr>
      </w:pPr>
      <w:r w:rsidRPr="00CF70BD">
        <w:rPr>
          <w:rFonts w:ascii="Century Gothic" w:hAnsi="Century Gothic"/>
          <w:sz w:val="22"/>
          <w:szCs w:val="22"/>
        </w:rPr>
        <w:t xml:space="preserve">La imposibilidad de realizar dicha verificación física obedece exclusivamente a las condiciones de seguridad e inhabitabilidad del inmueble y </w:t>
      </w:r>
      <w:r w:rsidRPr="00CF70BD">
        <w:rPr>
          <w:rFonts w:ascii="Century Gothic" w:hAnsi="Century Gothic"/>
          <w:b/>
          <w:bCs/>
          <w:sz w:val="22"/>
          <w:szCs w:val="22"/>
        </w:rPr>
        <w:t>no constituye una negativa o renuencia de la inmobiliaria a recibirlo</w:t>
      </w:r>
      <w:r w:rsidRPr="00CF70BD">
        <w:rPr>
          <w:rFonts w:ascii="Century Gothic" w:hAnsi="Century Gothic"/>
          <w:sz w:val="22"/>
          <w:szCs w:val="22"/>
        </w:rPr>
        <w:t>.</w:t>
      </w:r>
    </w:p>
    <w:p w14:paraId="203CE2A9" w14:textId="15159638" w:rsidR="00CF70BD" w:rsidRPr="00CF70BD" w:rsidRDefault="00CF70BD" w:rsidP="00CF70BD">
      <w:pPr>
        <w:jc w:val="both"/>
        <w:rPr>
          <w:rFonts w:ascii="Century Gothic" w:hAnsi="Century Gothic"/>
          <w:sz w:val="22"/>
          <w:szCs w:val="22"/>
        </w:rPr>
      </w:pPr>
      <w:r w:rsidRPr="00CF70BD">
        <w:rPr>
          <w:rFonts w:ascii="Century Gothic" w:hAnsi="Century Gothic"/>
          <w:sz w:val="22"/>
          <w:szCs w:val="22"/>
        </w:rPr>
        <w:t xml:space="preserve">De igual manera, se deja constancia de que las afectaciones y daños que tengan origen directo en el evento sísmico </w:t>
      </w:r>
      <w:r w:rsidRPr="00CF70BD">
        <w:rPr>
          <w:rFonts w:ascii="Century Gothic" w:hAnsi="Century Gothic"/>
          <w:b/>
          <w:bCs/>
          <w:sz w:val="22"/>
          <w:szCs w:val="22"/>
        </w:rPr>
        <w:t>no serán imputables al arrendatario por el solo hecho de no haberse podido realizar la inspección física del inmueble</w:t>
      </w:r>
      <w:r w:rsidRPr="00CF70BD">
        <w:rPr>
          <w:rFonts w:ascii="Century Gothic" w:hAnsi="Century Gothic"/>
          <w:sz w:val="22"/>
          <w:szCs w:val="22"/>
        </w:rPr>
        <w:t>, sin perjuicio</w:t>
      </w:r>
      <w:r>
        <w:rPr>
          <w:rFonts w:ascii="Century Gothic" w:hAnsi="Century Gothic"/>
          <w:sz w:val="22"/>
          <w:szCs w:val="22"/>
        </w:rPr>
        <w:t xml:space="preserve"> </w:t>
      </w:r>
      <w:r w:rsidRPr="00CF70BD">
        <w:rPr>
          <w:rFonts w:ascii="Century Gothic" w:hAnsi="Century Gothic"/>
          <w:sz w:val="22"/>
          <w:szCs w:val="22"/>
        </w:rPr>
        <w:t>de las verificaciones que puedan efectuarse posteriormente respecto de circunstancias distintas a aquellas derivadas del evento sísmico.</w:t>
      </w:r>
    </w:p>
    <w:p w14:paraId="6A235FBF" w14:textId="2FC17A1D" w:rsidR="00CF70BD" w:rsidRDefault="00CF70BD" w:rsidP="003A49A1">
      <w:pPr>
        <w:jc w:val="both"/>
        <w:rPr>
          <w:rFonts w:ascii="Century Gothic" w:hAnsi="Century Gothic"/>
          <w:b/>
          <w:bCs/>
          <w:sz w:val="22"/>
          <w:szCs w:val="22"/>
        </w:rPr>
      </w:pPr>
      <w:r>
        <w:rPr>
          <w:rFonts w:ascii="Century Gothic" w:hAnsi="Century Gothic"/>
          <w:sz w:val="22"/>
          <w:szCs w:val="22"/>
        </w:rPr>
        <w:t xml:space="preserve">3. </w:t>
      </w:r>
      <w:r w:rsidR="006D793B">
        <w:rPr>
          <w:rFonts w:ascii="Century Gothic" w:hAnsi="Century Gothic"/>
          <w:b/>
          <w:bCs/>
          <w:sz w:val="22"/>
          <w:szCs w:val="22"/>
        </w:rPr>
        <w:t>TERMINACION DEL CONTRATO</w:t>
      </w:r>
    </w:p>
    <w:p w14:paraId="08BBB09F" w14:textId="77777777" w:rsidR="006D793B" w:rsidRPr="006D793B" w:rsidRDefault="006D793B" w:rsidP="006D793B">
      <w:pPr>
        <w:jc w:val="both"/>
        <w:rPr>
          <w:rFonts w:ascii="Century Gothic" w:hAnsi="Century Gothic"/>
          <w:sz w:val="22"/>
          <w:szCs w:val="22"/>
        </w:rPr>
      </w:pPr>
      <w:r w:rsidRPr="006D793B">
        <w:rPr>
          <w:rFonts w:ascii="Century Gothic" w:hAnsi="Century Gothic"/>
          <w:sz w:val="22"/>
          <w:szCs w:val="22"/>
        </w:rPr>
        <w:t xml:space="preserve">En atención a las circunstancias extraordinarias derivadas del evento sísmico ocurrido el </w:t>
      </w:r>
      <w:r w:rsidRPr="006D793B">
        <w:rPr>
          <w:rFonts w:ascii="Century Gothic" w:hAnsi="Century Gothic"/>
          <w:b/>
          <w:bCs/>
          <w:sz w:val="22"/>
          <w:szCs w:val="22"/>
        </w:rPr>
        <w:t>10 de agosto de 2026</w:t>
      </w:r>
      <w:r w:rsidRPr="006D793B">
        <w:rPr>
          <w:rFonts w:ascii="Century Gothic" w:hAnsi="Century Gothic"/>
          <w:sz w:val="22"/>
          <w:szCs w:val="22"/>
        </w:rPr>
        <w:t xml:space="preserve">, y teniendo en cuenta que las condiciones de inhabitabilidad y seguridad del inmueble </w:t>
      </w:r>
      <w:r w:rsidRPr="006D793B">
        <w:rPr>
          <w:rFonts w:ascii="Century Gothic" w:hAnsi="Century Gothic"/>
          <w:b/>
          <w:bCs/>
          <w:sz w:val="22"/>
          <w:szCs w:val="22"/>
        </w:rPr>
        <w:t>impiden su uso y goce y hacen imposible la continuidad de la ejecución del contrato en las condiciones inicialmente pactadas</w:t>
      </w:r>
      <w:r w:rsidRPr="006D793B">
        <w:rPr>
          <w:rFonts w:ascii="Century Gothic" w:hAnsi="Century Gothic"/>
          <w:sz w:val="22"/>
          <w:szCs w:val="22"/>
        </w:rPr>
        <w:t xml:space="preserve">, las partes dejan constancia de la terminación del contrato de arrendamiento a partir del </w:t>
      </w:r>
      <w:r w:rsidRPr="006D793B">
        <w:rPr>
          <w:rFonts w:ascii="Century Gothic" w:hAnsi="Century Gothic"/>
          <w:b/>
          <w:bCs/>
          <w:sz w:val="22"/>
          <w:szCs w:val="22"/>
        </w:rPr>
        <w:t>10 de agosto de 2026</w:t>
      </w:r>
      <w:r w:rsidRPr="006D793B">
        <w:rPr>
          <w:rFonts w:ascii="Century Gothic" w:hAnsi="Century Gothic"/>
          <w:sz w:val="22"/>
          <w:szCs w:val="22"/>
        </w:rPr>
        <w:t>.</w:t>
      </w:r>
    </w:p>
    <w:p w14:paraId="23736615" w14:textId="77777777" w:rsidR="006D793B" w:rsidRPr="006D793B" w:rsidRDefault="006D793B" w:rsidP="006D793B">
      <w:pPr>
        <w:jc w:val="both"/>
        <w:rPr>
          <w:rFonts w:ascii="Century Gothic" w:hAnsi="Century Gothic"/>
          <w:sz w:val="22"/>
          <w:szCs w:val="22"/>
        </w:rPr>
      </w:pPr>
      <w:r w:rsidRPr="006D793B">
        <w:rPr>
          <w:rFonts w:ascii="Century Gothic" w:hAnsi="Century Gothic"/>
          <w:sz w:val="22"/>
          <w:szCs w:val="22"/>
        </w:rPr>
        <w:t xml:space="preserve">En consecuencia, el </w:t>
      </w:r>
      <w:r w:rsidRPr="006D793B">
        <w:rPr>
          <w:rFonts w:ascii="Century Gothic" w:hAnsi="Century Gothic"/>
          <w:b/>
          <w:bCs/>
          <w:sz w:val="22"/>
          <w:szCs w:val="22"/>
        </w:rPr>
        <w:t>10 de agosto de 2026</w:t>
      </w:r>
      <w:r w:rsidRPr="006D793B">
        <w:rPr>
          <w:rFonts w:ascii="Century Gothic" w:hAnsi="Century Gothic"/>
          <w:sz w:val="22"/>
          <w:szCs w:val="22"/>
        </w:rPr>
        <w:t xml:space="preserve"> se tendrá como fecha de terminación del contrato de arrendamiento y, hasta dicha fecha, se causarán las obligaciones económicas a cargo del arrendatario derivadas del contrato, en los términos que correspondan.</w:t>
      </w:r>
    </w:p>
    <w:p w14:paraId="1D1FEE73" w14:textId="77777777" w:rsidR="006D793B" w:rsidRPr="006D793B" w:rsidRDefault="006D793B" w:rsidP="006D793B">
      <w:pPr>
        <w:jc w:val="both"/>
        <w:rPr>
          <w:rFonts w:ascii="Century Gothic" w:hAnsi="Century Gothic"/>
          <w:sz w:val="22"/>
          <w:szCs w:val="22"/>
        </w:rPr>
      </w:pPr>
      <w:r w:rsidRPr="006D793B">
        <w:rPr>
          <w:rFonts w:ascii="Century Gothic" w:hAnsi="Century Gothic"/>
          <w:sz w:val="22"/>
          <w:szCs w:val="22"/>
        </w:rPr>
        <w:t>A partir de la fecha de terminación indicada, no se causarán cánones de arrendamiento con fundamento en el contrato terminado, sin perjuicio de aquellas obligaciones que, por su naturaleza, se hubieren causado con anterioridad a dicha fecha y de las demás obligaciones que legal o contractualmente correspondan.</w:t>
      </w:r>
    </w:p>
    <w:p w14:paraId="6D0B7BCE" w14:textId="77777777" w:rsidR="006D793B" w:rsidRPr="006D793B" w:rsidRDefault="006D793B" w:rsidP="006D793B">
      <w:pPr>
        <w:jc w:val="both"/>
        <w:rPr>
          <w:rFonts w:ascii="Century Gothic" w:hAnsi="Century Gothic"/>
          <w:sz w:val="22"/>
          <w:szCs w:val="22"/>
        </w:rPr>
      </w:pPr>
      <w:r w:rsidRPr="006D793B">
        <w:rPr>
          <w:rFonts w:ascii="Century Gothic" w:hAnsi="Century Gothic"/>
          <w:sz w:val="22"/>
          <w:szCs w:val="22"/>
        </w:rPr>
        <w:t>La terminación aquí documentada obedece a las circunstancias extraordinarias derivadas del evento sísmico y a la imposibilidad de continuar con el uso y goce del inmueble, y no implica, por sí misma, reconocimiento de responsabilidad de ninguna de las partes respecto de los daños ocasionados por el evento sísmico.</w:t>
      </w:r>
    </w:p>
    <w:p w14:paraId="6C99795B" w14:textId="77777777" w:rsidR="006D793B" w:rsidRPr="006D793B" w:rsidRDefault="006D793B" w:rsidP="006D793B">
      <w:pPr>
        <w:jc w:val="both"/>
        <w:rPr>
          <w:rFonts w:ascii="Century Gothic" w:hAnsi="Century Gothic"/>
          <w:b/>
          <w:bCs/>
          <w:sz w:val="22"/>
          <w:szCs w:val="22"/>
        </w:rPr>
      </w:pPr>
      <w:r w:rsidRPr="006D793B">
        <w:rPr>
          <w:rFonts w:ascii="Century Gothic" w:hAnsi="Century Gothic"/>
          <w:b/>
          <w:bCs/>
          <w:sz w:val="22"/>
          <w:szCs w:val="22"/>
        </w:rPr>
        <w:t>4. IMPOSIBILIDAD DE INSPECCIÓN Y DOCUMENTACIÓN DEL ESTADO DEL INMUEBLE</w:t>
      </w:r>
    </w:p>
    <w:p w14:paraId="56D18B13" w14:textId="77777777" w:rsidR="006D793B" w:rsidRPr="006D793B" w:rsidRDefault="006D793B" w:rsidP="006D793B">
      <w:pPr>
        <w:jc w:val="both"/>
        <w:rPr>
          <w:rFonts w:ascii="Century Gothic" w:hAnsi="Century Gothic"/>
          <w:sz w:val="22"/>
          <w:szCs w:val="22"/>
        </w:rPr>
      </w:pPr>
      <w:r w:rsidRPr="006D793B">
        <w:rPr>
          <w:rFonts w:ascii="Century Gothic" w:hAnsi="Century Gothic"/>
          <w:sz w:val="22"/>
          <w:szCs w:val="22"/>
        </w:rPr>
        <w:t>Debido a las restricciones de ingreso y a las condiciones de inhabitabilidad, el estado físico del inmueble no podrá ser verificado mediante una diligencia ordinaria de entrega.</w:t>
      </w:r>
    </w:p>
    <w:p w14:paraId="3FD12AD9" w14:textId="77777777" w:rsidR="006D793B" w:rsidRPr="006D793B" w:rsidRDefault="006D793B" w:rsidP="006D793B">
      <w:pPr>
        <w:jc w:val="both"/>
        <w:rPr>
          <w:rFonts w:ascii="Century Gothic" w:hAnsi="Century Gothic"/>
          <w:sz w:val="22"/>
          <w:szCs w:val="22"/>
        </w:rPr>
      </w:pPr>
      <w:r w:rsidRPr="006D793B">
        <w:rPr>
          <w:rFonts w:ascii="Century Gothic" w:hAnsi="Century Gothic"/>
          <w:sz w:val="22"/>
          <w:szCs w:val="22"/>
        </w:rPr>
        <w:t>Para efectos de trazabilidad, se conservarán los soportes disponibles relacionados con las circunstancias que dieron lugar a la imposibilidad de realizar dicha diligencia, entre ellos, según corresponda:</w:t>
      </w:r>
    </w:p>
    <w:p w14:paraId="5665A398" w14:textId="77777777" w:rsidR="006D793B" w:rsidRPr="006D793B" w:rsidRDefault="006D793B" w:rsidP="006D793B">
      <w:pPr>
        <w:numPr>
          <w:ilvl w:val="0"/>
          <w:numId w:val="2"/>
        </w:numPr>
        <w:spacing w:after="0"/>
        <w:jc w:val="both"/>
        <w:rPr>
          <w:rFonts w:ascii="Century Gothic" w:hAnsi="Century Gothic"/>
          <w:sz w:val="22"/>
          <w:szCs w:val="22"/>
        </w:rPr>
      </w:pPr>
      <w:r w:rsidRPr="006D793B">
        <w:rPr>
          <w:rFonts w:ascii="Century Gothic" w:hAnsi="Century Gothic"/>
          <w:sz w:val="22"/>
          <w:szCs w:val="22"/>
        </w:rPr>
        <w:t>Reportes de afectación del inmueble.</w:t>
      </w:r>
    </w:p>
    <w:p w14:paraId="1441D31E" w14:textId="77777777" w:rsidR="006D793B" w:rsidRPr="006D793B" w:rsidRDefault="006D793B" w:rsidP="006D793B">
      <w:pPr>
        <w:numPr>
          <w:ilvl w:val="0"/>
          <w:numId w:val="2"/>
        </w:numPr>
        <w:spacing w:after="0"/>
        <w:jc w:val="both"/>
        <w:rPr>
          <w:rFonts w:ascii="Century Gothic" w:hAnsi="Century Gothic"/>
          <w:sz w:val="22"/>
          <w:szCs w:val="22"/>
        </w:rPr>
      </w:pPr>
      <w:r w:rsidRPr="006D793B">
        <w:rPr>
          <w:rFonts w:ascii="Century Gothic" w:hAnsi="Century Gothic"/>
          <w:sz w:val="22"/>
          <w:szCs w:val="22"/>
        </w:rPr>
        <w:t>Evidencia de la declaración de inhabitabilidad o restricción de ingreso.</w:t>
      </w:r>
    </w:p>
    <w:p w14:paraId="3C4CD1A8" w14:textId="77777777" w:rsidR="006D793B" w:rsidRPr="006D793B" w:rsidRDefault="006D793B" w:rsidP="006D793B">
      <w:pPr>
        <w:numPr>
          <w:ilvl w:val="0"/>
          <w:numId w:val="2"/>
        </w:numPr>
        <w:spacing w:after="0"/>
        <w:jc w:val="both"/>
        <w:rPr>
          <w:rFonts w:ascii="Century Gothic" w:hAnsi="Century Gothic"/>
          <w:sz w:val="22"/>
          <w:szCs w:val="22"/>
        </w:rPr>
      </w:pPr>
      <w:r w:rsidRPr="006D793B">
        <w:rPr>
          <w:rFonts w:ascii="Century Gothic" w:hAnsi="Century Gothic"/>
          <w:sz w:val="22"/>
          <w:szCs w:val="22"/>
        </w:rPr>
        <w:t>Comunicaciones intercambiadas con el arrendatario.</w:t>
      </w:r>
    </w:p>
    <w:p w14:paraId="6A13F6DD" w14:textId="77777777" w:rsidR="006D793B" w:rsidRPr="006D793B" w:rsidRDefault="006D793B" w:rsidP="006D793B">
      <w:pPr>
        <w:numPr>
          <w:ilvl w:val="0"/>
          <w:numId w:val="2"/>
        </w:numPr>
        <w:spacing w:after="0"/>
        <w:jc w:val="both"/>
        <w:rPr>
          <w:rFonts w:ascii="Century Gothic" w:hAnsi="Century Gothic"/>
          <w:sz w:val="22"/>
          <w:szCs w:val="22"/>
        </w:rPr>
      </w:pPr>
      <w:r w:rsidRPr="006D793B">
        <w:rPr>
          <w:rFonts w:ascii="Century Gothic" w:hAnsi="Century Gothic"/>
          <w:sz w:val="22"/>
          <w:szCs w:val="22"/>
        </w:rPr>
        <w:t>Registro de la manifestación de entrega.</w:t>
      </w:r>
    </w:p>
    <w:p w14:paraId="1AF27E83" w14:textId="77777777" w:rsidR="006D793B" w:rsidRPr="006D793B" w:rsidRDefault="006D793B" w:rsidP="006D793B">
      <w:pPr>
        <w:numPr>
          <w:ilvl w:val="0"/>
          <w:numId w:val="2"/>
        </w:numPr>
        <w:spacing w:after="0"/>
        <w:jc w:val="both"/>
        <w:rPr>
          <w:rFonts w:ascii="Century Gothic" w:hAnsi="Century Gothic"/>
          <w:sz w:val="22"/>
          <w:szCs w:val="22"/>
        </w:rPr>
      </w:pPr>
      <w:r w:rsidRPr="006D793B">
        <w:rPr>
          <w:rFonts w:ascii="Century Gothic" w:hAnsi="Century Gothic"/>
          <w:sz w:val="22"/>
          <w:szCs w:val="22"/>
        </w:rPr>
        <w:t>Fotografías, videos o demás registros disponibles que permitan acreditar las condiciones reportadas.</w:t>
      </w:r>
    </w:p>
    <w:p w14:paraId="63EC3597" w14:textId="77777777" w:rsidR="006D793B" w:rsidRPr="006D793B" w:rsidRDefault="006D793B" w:rsidP="006D793B">
      <w:pPr>
        <w:numPr>
          <w:ilvl w:val="0"/>
          <w:numId w:val="2"/>
        </w:numPr>
        <w:jc w:val="both"/>
        <w:rPr>
          <w:rFonts w:ascii="Century Gothic" w:hAnsi="Century Gothic"/>
          <w:sz w:val="22"/>
          <w:szCs w:val="22"/>
        </w:rPr>
      </w:pPr>
      <w:r w:rsidRPr="006D793B">
        <w:rPr>
          <w:rFonts w:ascii="Century Gothic" w:hAnsi="Century Gothic"/>
          <w:sz w:val="22"/>
          <w:szCs w:val="22"/>
        </w:rPr>
        <w:t>Informes o conceptos emitidos por las autoridades, administración de la propiedad horizontal, profesionales o entidades competentes, cuando existan.</w:t>
      </w:r>
    </w:p>
    <w:p w14:paraId="77D0BF10" w14:textId="77777777" w:rsidR="006D793B" w:rsidRPr="006D793B" w:rsidRDefault="006D793B" w:rsidP="006D793B">
      <w:pPr>
        <w:jc w:val="both"/>
        <w:rPr>
          <w:rFonts w:ascii="Century Gothic" w:hAnsi="Century Gothic"/>
          <w:b/>
          <w:bCs/>
          <w:sz w:val="22"/>
          <w:szCs w:val="22"/>
        </w:rPr>
      </w:pPr>
      <w:r w:rsidRPr="006D793B">
        <w:rPr>
          <w:rFonts w:ascii="Century Gothic" w:hAnsi="Century Gothic"/>
          <w:b/>
          <w:bCs/>
          <w:sz w:val="22"/>
          <w:szCs w:val="22"/>
        </w:rPr>
        <w:t>5. ALCANCE DE LA PRESENTE CONSTANCIA</w:t>
      </w:r>
    </w:p>
    <w:p w14:paraId="1E3EC785" w14:textId="77777777" w:rsidR="006D793B" w:rsidRPr="006D793B" w:rsidRDefault="006D793B" w:rsidP="006D793B">
      <w:pPr>
        <w:jc w:val="both"/>
        <w:rPr>
          <w:rFonts w:ascii="Century Gothic" w:hAnsi="Century Gothic"/>
          <w:sz w:val="22"/>
          <w:szCs w:val="22"/>
        </w:rPr>
      </w:pPr>
      <w:r w:rsidRPr="006D793B">
        <w:rPr>
          <w:rFonts w:ascii="Century Gothic" w:hAnsi="Century Gothic"/>
          <w:sz w:val="22"/>
          <w:szCs w:val="22"/>
        </w:rPr>
        <w:t>La presente constancia tiene como finalidad documentar la manifestación de entrega realizada por el arrendatario, la imposibilidad material de efectuar la recepción física del inmueble y la terminación del contrato de arrendamiento en las condiciones anteriormente señaladas.</w:t>
      </w:r>
    </w:p>
    <w:p w14:paraId="6978F2C9" w14:textId="77777777" w:rsidR="006D793B" w:rsidRPr="006D793B" w:rsidRDefault="006D793B" w:rsidP="006D793B">
      <w:pPr>
        <w:jc w:val="both"/>
        <w:rPr>
          <w:rFonts w:ascii="Century Gothic" w:hAnsi="Century Gothic"/>
          <w:sz w:val="22"/>
          <w:szCs w:val="22"/>
        </w:rPr>
      </w:pPr>
      <w:r w:rsidRPr="006D793B">
        <w:rPr>
          <w:rFonts w:ascii="Century Gothic" w:hAnsi="Century Gothic"/>
          <w:sz w:val="22"/>
          <w:szCs w:val="22"/>
        </w:rPr>
        <w:t xml:space="preserve">La imposibilidad de realizar la inspección física del inmueble </w:t>
      </w:r>
      <w:r w:rsidRPr="006D793B">
        <w:rPr>
          <w:rFonts w:ascii="Century Gothic" w:hAnsi="Century Gothic"/>
          <w:b/>
          <w:bCs/>
          <w:sz w:val="22"/>
          <w:szCs w:val="22"/>
        </w:rPr>
        <w:t>no podrá interpretarse como una aceptación de su estado, inventario o condiciones físicas</w:t>
      </w:r>
      <w:r w:rsidRPr="006D793B">
        <w:rPr>
          <w:rFonts w:ascii="Century Gothic" w:hAnsi="Century Gothic"/>
          <w:sz w:val="22"/>
          <w:szCs w:val="22"/>
        </w:rPr>
        <w:t>, toda vez que la diligencia de recepción no pudo llevarse a cabo por razones de seguridad.</w:t>
      </w:r>
    </w:p>
    <w:p w14:paraId="6006EF12" w14:textId="77777777" w:rsidR="006D793B" w:rsidRPr="006D793B" w:rsidRDefault="006D793B" w:rsidP="006D793B">
      <w:pPr>
        <w:jc w:val="both"/>
        <w:rPr>
          <w:rFonts w:ascii="Century Gothic" w:hAnsi="Century Gothic"/>
          <w:sz w:val="22"/>
          <w:szCs w:val="22"/>
        </w:rPr>
      </w:pPr>
      <w:r w:rsidRPr="006D793B">
        <w:rPr>
          <w:rFonts w:ascii="Century Gothic" w:hAnsi="Century Gothic"/>
          <w:sz w:val="22"/>
          <w:szCs w:val="22"/>
        </w:rPr>
        <w:t>De igual manera, la presente constancia no constituye reconocimiento de responsabilidad por los daños ocasionados por el evento sísmico ni implica atribución al arrendatario de aquellos daños que tengan origen directo en dicho evento.</w:t>
      </w:r>
    </w:p>
    <w:p w14:paraId="050E6E84" w14:textId="5D285A1F" w:rsidR="006D793B" w:rsidRPr="006D793B" w:rsidRDefault="006D793B" w:rsidP="006D793B">
      <w:pPr>
        <w:jc w:val="both"/>
        <w:rPr>
          <w:rFonts w:ascii="Century Gothic" w:hAnsi="Century Gothic"/>
          <w:sz w:val="22"/>
          <w:szCs w:val="22"/>
        </w:rPr>
      </w:pPr>
      <w:r w:rsidRPr="006D793B">
        <w:rPr>
          <w:rFonts w:ascii="Century Gothic" w:hAnsi="Century Gothic"/>
          <w:sz w:val="22"/>
          <w:szCs w:val="22"/>
        </w:rPr>
        <w:t xml:space="preserve">En constancia de lo anterior, se suscribe el presente documento en </w:t>
      </w:r>
      <w:proofErr w:type="spellStart"/>
      <w:r>
        <w:rPr>
          <w:rFonts w:ascii="Century Gothic" w:hAnsi="Century Gothic"/>
          <w:b/>
          <w:bCs/>
          <w:sz w:val="22"/>
          <w:szCs w:val="22"/>
        </w:rPr>
        <w:t>xxxxxxxxx</w:t>
      </w:r>
      <w:proofErr w:type="spellEnd"/>
      <w:r w:rsidRPr="006D793B">
        <w:rPr>
          <w:rFonts w:ascii="Century Gothic" w:hAnsi="Century Gothic"/>
          <w:sz w:val="22"/>
          <w:szCs w:val="22"/>
        </w:rPr>
        <w:t xml:space="preserve"> a los </w:t>
      </w:r>
      <w:proofErr w:type="spellStart"/>
      <w:r>
        <w:rPr>
          <w:rFonts w:ascii="Century Gothic" w:hAnsi="Century Gothic"/>
          <w:b/>
          <w:bCs/>
          <w:sz w:val="22"/>
          <w:szCs w:val="22"/>
        </w:rPr>
        <w:t>xxxxxxxx</w:t>
      </w:r>
      <w:proofErr w:type="spellEnd"/>
      <w:r w:rsidRPr="006D793B">
        <w:rPr>
          <w:rFonts w:ascii="Century Gothic" w:hAnsi="Century Gothic"/>
          <w:sz w:val="22"/>
          <w:szCs w:val="22"/>
        </w:rPr>
        <w:t xml:space="preserve"> días del mes de </w:t>
      </w:r>
      <w:proofErr w:type="spellStart"/>
      <w:r>
        <w:rPr>
          <w:rFonts w:ascii="Century Gothic" w:hAnsi="Century Gothic"/>
          <w:b/>
          <w:bCs/>
          <w:sz w:val="22"/>
          <w:szCs w:val="22"/>
        </w:rPr>
        <w:t>xxxx</w:t>
      </w:r>
      <w:proofErr w:type="spellEnd"/>
      <w:r w:rsidRPr="006D793B">
        <w:rPr>
          <w:rFonts w:ascii="Century Gothic" w:hAnsi="Century Gothic"/>
          <w:sz w:val="22"/>
          <w:szCs w:val="22"/>
        </w:rPr>
        <w:t xml:space="preserve"> de </w:t>
      </w:r>
      <w:proofErr w:type="spellStart"/>
      <w:r>
        <w:rPr>
          <w:rFonts w:ascii="Century Gothic" w:hAnsi="Century Gothic"/>
          <w:b/>
          <w:bCs/>
          <w:sz w:val="22"/>
          <w:szCs w:val="22"/>
        </w:rPr>
        <w:t>xxxxxxxx</w:t>
      </w:r>
      <w:proofErr w:type="spellEnd"/>
    </w:p>
    <w:p w14:paraId="158B1B41" w14:textId="77777777" w:rsidR="00CF70BD" w:rsidRPr="003A49A1" w:rsidRDefault="00CF70BD" w:rsidP="003A49A1">
      <w:pPr>
        <w:jc w:val="both"/>
        <w:rPr>
          <w:rFonts w:ascii="Century Gothic" w:hAnsi="Century Gothic"/>
          <w:sz w:val="22"/>
          <w:szCs w:val="22"/>
        </w:rPr>
      </w:pPr>
    </w:p>
    <w:p w14:paraId="3C3382C3" w14:textId="77777777" w:rsidR="003A49A1" w:rsidRDefault="003A49A1" w:rsidP="003A49A1">
      <w:pPr>
        <w:jc w:val="both"/>
        <w:rPr>
          <w:rFonts w:ascii="Century Gothic" w:hAnsi="Century Gothic"/>
          <w:b/>
          <w:bCs/>
          <w:sz w:val="22"/>
          <w:szCs w:val="22"/>
        </w:rPr>
      </w:pPr>
      <w:r w:rsidRPr="003A49A1">
        <w:rPr>
          <w:rFonts w:ascii="Century Gothic" w:hAnsi="Century Gothic"/>
          <w:b/>
          <w:bCs/>
          <w:sz w:val="22"/>
          <w:szCs w:val="22"/>
        </w:rPr>
        <w:t>LA INMOBILIARIA / ARRENDADOR</w:t>
      </w:r>
    </w:p>
    <w:p w14:paraId="51DF755E" w14:textId="77777777" w:rsidR="00CF70BD" w:rsidRPr="003A49A1" w:rsidRDefault="00CF70BD" w:rsidP="003A49A1">
      <w:pPr>
        <w:jc w:val="both"/>
        <w:rPr>
          <w:rFonts w:ascii="Century Gothic" w:hAnsi="Century Gothic"/>
          <w:sz w:val="22"/>
          <w:szCs w:val="22"/>
        </w:rPr>
      </w:pPr>
    </w:p>
    <w:p w14:paraId="425B2785" w14:textId="77777777" w:rsidR="00CF70BD" w:rsidRDefault="003A49A1" w:rsidP="003A49A1">
      <w:pPr>
        <w:jc w:val="both"/>
        <w:rPr>
          <w:rFonts w:ascii="Century Gothic" w:hAnsi="Century Gothic"/>
          <w:sz w:val="22"/>
          <w:szCs w:val="22"/>
        </w:rPr>
      </w:pPr>
      <w:r w:rsidRPr="003A49A1">
        <w:rPr>
          <w:rFonts w:ascii="Century Gothic" w:hAnsi="Century Gothic"/>
          <w:sz w:val="22"/>
          <w:szCs w:val="22"/>
        </w:rPr>
        <w:t xml:space="preserve">Nombre: </w:t>
      </w:r>
      <w:r w:rsidRPr="003A49A1">
        <w:rPr>
          <w:rFonts w:ascii="Century Gothic" w:hAnsi="Century Gothic"/>
          <w:sz w:val="22"/>
          <w:szCs w:val="22"/>
        </w:rPr>
        <w:br/>
        <w:t xml:space="preserve">NIT/CC: </w:t>
      </w:r>
      <w:r w:rsidRPr="003A49A1">
        <w:rPr>
          <w:rFonts w:ascii="Century Gothic" w:hAnsi="Century Gothic"/>
          <w:sz w:val="22"/>
          <w:szCs w:val="22"/>
        </w:rPr>
        <w:br/>
        <w:t>Representante</w:t>
      </w:r>
      <w:r w:rsidR="00CF70BD">
        <w:rPr>
          <w:rFonts w:ascii="Century Gothic" w:hAnsi="Century Gothic"/>
          <w:sz w:val="22"/>
          <w:szCs w:val="22"/>
        </w:rPr>
        <w:t xml:space="preserve"> </w:t>
      </w:r>
      <w:r w:rsidRPr="003A49A1">
        <w:rPr>
          <w:rFonts w:ascii="Century Gothic" w:hAnsi="Century Gothic"/>
          <w:sz w:val="22"/>
          <w:szCs w:val="22"/>
        </w:rPr>
        <w:t xml:space="preserve">legal: </w:t>
      </w:r>
    </w:p>
    <w:p w14:paraId="1F2C4B55" w14:textId="3E07F2DB" w:rsidR="003A49A1" w:rsidRPr="003A49A1" w:rsidRDefault="003A49A1" w:rsidP="003A49A1">
      <w:pPr>
        <w:jc w:val="both"/>
        <w:rPr>
          <w:rFonts w:ascii="Century Gothic" w:hAnsi="Century Gothic"/>
          <w:sz w:val="22"/>
          <w:szCs w:val="22"/>
        </w:rPr>
      </w:pPr>
      <w:r w:rsidRPr="003A49A1">
        <w:rPr>
          <w:rFonts w:ascii="Century Gothic" w:hAnsi="Century Gothic"/>
          <w:sz w:val="22"/>
          <w:szCs w:val="22"/>
        </w:rPr>
        <w:br/>
      </w:r>
      <w:r w:rsidRPr="003A49A1">
        <w:rPr>
          <w:rFonts w:ascii="Century Gothic" w:hAnsi="Century Gothic"/>
          <w:sz w:val="22"/>
          <w:szCs w:val="22"/>
        </w:rPr>
        <w:br/>
      </w:r>
    </w:p>
    <w:p w14:paraId="0152C337" w14:textId="77777777" w:rsidR="003A49A1" w:rsidRDefault="003A49A1" w:rsidP="003A49A1">
      <w:pPr>
        <w:jc w:val="both"/>
        <w:rPr>
          <w:rFonts w:ascii="Century Gothic" w:hAnsi="Century Gothic"/>
          <w:b/>
          <w:bCs/>
          <w:sz w:val="22"/>
          <w:szCs w:val="22"/>
        </w:rPr>
      </w:pPr>
      <w:r w:rsidRPr="003A49A1">
        <w:rPr>
          <w:rFonts w:ascii="Century Gothic" w:hAnsi="Century Gothic"/>
          <w:b/>
          <w:bCs/>
          <w:sz w:val="22"/>
          <w:szCs w:val="22"/>
        </w:rPr>
        <w:t>EL ARRENDATARIO</w:t>
      </w:r>
    </w:p>
    <w:p w14:paraId="5AB96423" w14:textId="77777777" w:rsidR="00CF70BD" w:rsidRPr="003A49A1" w:rsidRDefault="00CF70BD" w:rsidP="003A49A1">
      <w:pPr>
        <w:jc w:val="both"/>
        <w:rPr>
          <w:rFonts w:ascii="Century Gothic" w:hAnsi="Century Gothic"/>
          <w:sz w:val="22"/>
          <w:szCs w:val="22"/>
        </w:rPr>
      </w:pPr>
    </w:p>
    <w:p w14:paraId="5F17C575" w14:textId="2876E9F6" w:rsidR="003A49A1" w:rsidRDefault="003A49A1" w:rsidP="003A49A1">
      <w:pPr>
        <w:jc w:val="both"/>
        <w:rPr>
          <w:rFonts w:ascii="Century Gothic" w:hAnsi="Century Gothic"/>
          <w:sz w:val="22"/>
          <w:szCs w:val="22"/>
        </w:rPr>
      </w:pPr>
      <w:r w:rsidRPr="003A49A1">
        <w:rPr>
          <w:rFonts w:ascii="Century Gothic" w:hAnsi="Century Gothic"/>
          <w:sz w:val="22"/>
          <w:szCs w:val="22"/>
        </w:rPr>
        <w:t xml:space="preserve">Nombre: </w:t>
      </w:r>
      <w:r w:rsidRPr="003A49A1">
        <w:rPr>
          <w:rFonts w:ascii="Century Gothic" w:hAnsi="Century Gothic"/>
          <w:sz w:val="22"/>
          <w:szCs w:val="22"/>
        </w:rPr>
        <w:br/>
        <w:t>C.C. No.:</w:t>
      </w:r>
    </w:p>
    <w:sectPr w:rsidR="003A49A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D78CB"/>
    <w:multiLevelType w:val="multilevel"/>
    <w:tmpl w:val="D1E00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6B17E0"/>
    <w:multiLevelType w:val="multilevel"/>
    <w:tmpl w:val="2B4E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5603786">
    <w:abstractNumId w:val="0"/>
  </w:num>
  <w:num w:numId="2" w16cid:durableId="8619358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9A1"/>
    <w:rsid w:val="003A49A1"/>
    <w:rsid w:val="005D51BD"/>
    <w:rsid w:val="006D793B"/>
    <w:rsid w:val="00CF70B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E97CA"/>
  <w15:chartTrackingRefBased/>
  <w15:docId w15:val="{11F3F0FC-7BCD-459F-8910-1783EE70E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A49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A49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A49A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A49A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A49A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A49A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A49A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A49A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A49A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A49A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A49A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A49A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A49A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A49A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A49A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A49A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A49A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A49A1"/>
    <w:rPr>
      <w:rFonts w:eastAsiaTheme="majorEastAsia" w:cstheme="majorBidi"/>
      <w:color w:val="272727" w:themeColor="text1" w:themeTint="D8"/>
    </w:rPr>
  </w:style>
  <w:style w:type="paragraph" w:styleId="Ttulo">
    <w:name w:val="Title"/>
    <w:basedOn w:val="Normal"/>
    <w:next w:val="Normal"/>
    <w:link w:val="TtuloCar"/>
    <w:uiPriority w:val="10"/>
    <w:qFormat/>
    <w:rsid w:val="003A4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A49A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A49A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A49A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A49A1"/>
    <w:pPr>
      <w:spacing w:before="160"/>
      <w:jc w:val="center"/>
    </w:pPr>
    <w:rPr>
      <w:i/>
      <w:iCs/>
      <w:color w:val="404040" w:themeColor="text1" w:themeTint="BF"/>
    </w:rPr>
  </w:style>
  <w:style w:type="character" w:customStyle="1" w:styleId="CitaCar">
    <w:name w:val="Cita Car"/>
    <w:basedOn w:val="Fuentedeprrafopredeter"/>
    <w:link w:val="Cita"/>
    <w:uiPriority w:val="29"/>
    <w:rsid w:val="003A49A1"/>
    <w:rPr>
      <w:i/>
      <w:iCs/>
      <w:color w:val="404040" w:themeColor="text1" w:themeTint="BF"/>
    </w:rPr>
  </w:style>
  <w:style w:type="paragraph" w:styleId="Prrafodelista">
    <w:name w:val="List Paragraph"/>
    <w:basedOn w:val="Normal"/>
    <w:uiPriority w:val="34"/>
    <w:qFormat/>
    <w:rsid w:val="003A49A1"/>
    <w:pPr>
      <w:ind w:left="720"/>
      <w:contextualSpacing/>
    </w:pPr>
  </w:style>
  <w:style w:type="character" w:styleId="nfasisintenso">
    <w:name w:val="Intense Emphasis"/>
    <w:basedOn w:val="Fuentedeprrafopredeter"/>
    <w:uiPriority w:val="21"/>
    <w:qFormat/>
    <w:rsid w:val="003A49A1"/>
    <w:rPr>
      <w:i/>
      <w:iCs/>
      <w:color w:val="2F5496" w:themeColor="accent1" w:themeShade="BF"/>
    </w:rPr>
  </w:style>
  <w:style w:type="paragraph" w:styleId="Citadestacada">
    <w:name w:val="Intense Quote"/>
    <w:basedOn w:val="Normal"/>
    <w:next w:val="Normal"/>
    <w:link w:val="CitadestacadaCar"/>
    <w:uiPriority w:val="30"/>
    <w:qFormat/>
    <w:rsid w:val="003A49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A49A1"/>
    <w:rPr>
      <w:i/>
      <w:iCs/>
      <w:color w:val="2F5496" w:themeColor="accent1" w:themeShade="BF"/>
    </w:rPr>
  </w:style>
  <w:style w:type="character" w:styleId="Referenciaintensa">
    <w:name w:val="Intense Reference"/>
    <w:basedOn w:val="Fuentedeprrafopredeter"/>
    <w:uiPriority w:val="32"/>
    <w:qFormat/>
    <w:rsid w:val="003A49A1"/>
    <w:rPr>
      <w:b/>
      <w:bCs/>
      <w:smallCaps/>
      <w:color w:val="2F5496" w:themeColor="accent1" w:themeShade="BF"/>
      <w:spacing w:val="5"/>
    </w:rPr>
  </w:style>
  <w:style w:type="table" w:styleId="Tablaconcuadrcula">
    <w:name w:val="Table Grid"/>
    <w:basedOn w:val="Tablanormal"/>
    <w:uiPriority w:val="39"/>
    <w:rsid w:val="003A49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875</Words>
  <Characters>4816</Characters>
  <Application>Microsoft Office Word</Application>
  <DocSecurity>0</DocSecurity>
  <Lines>40</Lines>
  <Paragraphs>11</Paragraphs>
  <ScaleCrop>false</ScaleCrop>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Lizeth Vianney Agredo Casanova</dc:creator>
  <cp:keywords/>
  <dc:description/>
  <cp:lastModifiedBy>Lizeth Vianney Agredo Casanova</cp:lastModifiedBy>
  <cp:revision>1</cp:revision>
  <dcterms:created xsi:type="dcterms:W3CDTF">2026-08-15T14:28:00Z</dcterms:created>
  <dcterms:modified xsi:type="dcterms:W3CDTF">2026-08-15T14:53:00Z</dcterms:modified>
</cp:coreProperties>
</file>