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39415" w14:textId="77777777" w:rsidR="008A06BF" w:rsidRPr="008A06BF" w:rsidRDefault="008A06BF" w:rsidP="008A06BF">
      <w:pPr>
        <w:jc w:val="both"/>
        <w:rPr>
          <w:rFonts w:ascii="Century Gothic" w:hAnsi="Century Gothic"/>
          <w:b/>
          <w:bCs/>
          <w:sz w:val="22"/>
          <w:szCs w:val="22"/>
        </w:rPr>
      </w:pPr>
      <w:r w:rsidRPr="008A06BF">
        <w:rPr>
          <w:rFonts w:ascii="Century Gothic" w:hAnsi="Century Gothic"/>
          <w:b/>
          <w:bCs/>
          <w:sz w:val="22"/>
          <w:szCs w:val="22"/>
        </w:rPr>
        <w:t>COMUNICADO DIRIGIDO A PROPIETARIOS DE INMUEBLES ADMINISTRADOS</w:t>
      </w:r>
    </w:p>
    <w:p w14:paraId="5204B5C1" w14:textId="77777777" w:rsidR="008A06BF" w:rsidRPr="008A06BF" w:rsidRDefault="008A06BF" w:rsidP="008A06BF">
      <w:pPr>
        <w:jc w:val="both"/>
        <w:rPr>
          <w:rFonts w:ascii="Century Gothic" w:hAnsi="Century Gothic"/>
          <w:b/>
          <w:bCs/>
          <w:sz w:val="22"/>
          <w:szCs w:val="22"/>
        </w:rPr>
      </w:pPr>
      <w:r w:rsidRPr="008A06BF">
        <w:rPr>
          <w:rFonts w:ascii="Century Gothic" w:hAnsi="Century Gothic"/>
          <w:b/>
          <w:bCs/>
          <w:sz w:val="22"/>
          <w:szCs w:val="22"/>
        </w:rPr>
        <w:t>ASUNTO: Manejo excepcional del canon de arrendamiento de agosto de 2026 y protocolo de atención frente a afectaciones derivadas del evento sísmico</w:t>
      </w:r>
    </w:p>
    <w:p w14:paraId="19BD9BEF"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Estimado(a) propietario(a):</w:t>
      </w:r>
    </w:p>
    <w:p w14:paraId="1A13EC1B"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Esperamos que usted y su familia se encuentren bien tras el evento sísmico registrado el pasado 10 de agosto de 2026.</w:t>
      </w:r>
    </w:p>
    <w:p w14:paraId="095577D7" w14:textId="26B6B1C0"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 xml:space="preserve">Por medio del presente comunicado, queremos informar sobre las acciones, medidas y procedimientos que desde </w:t>
      </w:r>
      <w:r>
        <w:rPr>
          <w:rFonts w:ascii="Century Gothic" w:hAnsi="Century Gothic"/>
          <w:sz w:val="22"/>
          <w:szCs w:val="22"/>
        </w:rPr>
        <w:t>la inmobiliaria XXXXXXX</w:t>
      </w:r>
      <w:r w:rsidRPr="008A06BF">
        <w:rPr>
          <w:rFonts w:ascii="Century Gothic" w:hAnsi="Century Gothic"/>
          <w:sz w:val="22"/>
          <w:szCs w:val="22"/>
        </w:rPr>
        <w:t xml:space="preserve"> estamos implementando para atender esta contingencia, proteger su patrimonio y garantizar una adecuada gestión de los inmuebles bajo nuestra administración.</w:t>
      </w:r>
    </w:p>
    <w:p w14:paraId="5DC73738" w14:textId="266B06F2" w:rsidR="008A06BF" w:rsidRPr="00EE2438" w:rsidRDefault="008A06BF" w:rsidP="008A06BF">
      <w:pPr>
        <w:jc w:val="both"/>
        <w:rPr>
          <w:rFonts w:ascii="Century Gothic" w:hAnsi="Century Gothic"/>
          <w:b/>
          <w:bCs/>
          <w:sz w:val="22"/>
          <w:szCs w:val="22"/>
        </w:rPr>
      </w:pPr>
      <w:r w:rsidRPr="008A06BF">
        <w:rPr>
          <w:rFonts w:ascii="Century Gothic" w:hAnsi="Century Gothic"/>
          <w:b/>
          <w:bCs/>
          <w:sz w:val="22"/>
          <w:szCs w:val="22"/>
        </w:rPr>
        <w:t>1. Atención prioritaria y levantamiento de información</w:t>
      </w:r>
      <w:r w:rsidR="00EE2438">
        <w:rPr>
          <w:rFonts w:ascii="Century Gothic" w:hAnsi="Century Gothic"/>
          <w:b/>
          <w:bCs/>
          <w:sz w:val="22"/>
          <w:szCs w:val="22"/>
        </w:rPr>
        <w:t xml:space="preserve">: </w:t>
      </w:r>
      <w:r w:rsidRPr="008A06BF">
        <w:rPr>
          <w:rFonts w:ascii="Century Gothic" w:hAnsi="Century Gothic"/>
          <w:sz w:val="22"/>
          <w:szCs w:val="22"/>
        </w:rPr>
        <w:t>Nuestra prioridad es atender cada situación de manera individual, categorizando y priorizando las revisiones e intervenciones de acuerdo con el nivel de riesgo, gravedad o urgencia técnica que pueda presentar cada inmueble.</w:t>
      </w:r>
    </w:p>
    <w:p w14:paraId="5871A152" w14:textId="00E724F5" w:rsidR="008A06BF" w:rsidRPr="008A06BF" w:rsidRDefault="000E2246" w:rsidP="008A06BF">
      <w:pPr>
        <w:jc w:val="both"/>
        <w:rPr>
          <w:rFonts w:ascii="Century Gothic" w:hAnsi="Century Gothic"/>
          <w:sz w:val="22"/>
          <w:szCs w:val="22"/>
        </w:rPr>
      </w:pPr>
      <w:r w:rsidRPr="004B291A">
        <w:rPr>
          <w:rFonts w:ascii="Century Gothic" w:hAnsi="Century Gothic"/>
          <w:sz w:val="22"/>
          <w:szCs w:val="22"/>
        </w:rPr>
        <w:t>Por lo anterior es importante revisar y evaluar oportunamente las</w:t>
      </w:r>
      <w:r w:rsidR="008A06BF" w:rsidRPr="004B291A">
        <w:rPr>
          <w:rFonts w:ascii="Century Gothic" w:hAnsi="Century Gothic"/>
          <w:sz w:val="22"/>
          <w:szCs w:val="22"/>
        </w:rPr>
        <w:t xml:space="preserve"> posibles afectaciones </w:t>
      </w:r>
      <w:r w:rsidRPr="004B291A">
        <w:rPr>
          <w:rFonts w:ascii="Century Gothic" w:hAnsi="Century Gothic"/>
          <w:sz w:val="22"/>
          <w:szCs w:val="22"/>
        </w:rPr>
        <w:t xml:space="preserve">informadas por los inquilinos, </w:t>
      </w:r>
      <w:r w:rsidR="008A06BF" w:rsidRPr="004B291A">
        <w:rPr>
          <w:rFonts w:ascii="Century Gothic" w:hAnsi="Century Gothic"/>
          <w:sz w:val="22"/>
          <w:szCs w:val="22"/>
        </w:rPr>
        <w:t>identificar las condiciones particulares de cada inmueble y determinar las acciones que correspondan</w:t>
      </w:r>
      <w:r w:rsidRPr="004B291A">
        <w:rPr>
          <w:rFonts w:ascii="Century Gothic" w:hAnsi="Century Gothic"/>
          <w:sz w:val="22"/>
          <w:szCs w:val="22"/>
        </w:rPr>
        <w:t>, para determinar</w:t>
      </w:r>
      <w:r w:rsidR="008A06BF" w:rsidRPr="004B291A">
        <w:rPr>
          <w:rFonts w:ascii="Century Gothic" w:hAnsi="Century Gothic"/>
          <w:sz w:val="22"/>
          <w:szCs w:val="22"/>
        </w:rPr>
        <w:t xml:space="preserve"> </w:t>
      </w:r>
      <w:r w:rsidRPr="004B291A">
        <w:rPr>
          <w:rFonts w:ascii="Century Gothic" w:hAnsi="Century Gothic"/>
          <w:sz w:val="22"/>
          <w:szCs w:val="22"/>
        </w:rPr>
        <w:t>si está comprometida la habitabilidad o seguridad en el inmueble.</w:t>
      </w:r>
    </w:p>
    <w:p w14:paraId="57ADBEEE" w14:textId="5189AFA4" w:rsidR="008A06BF" w:rsidRPr="00EE2438" w:rsidRDefault="008A06BF" w:rsidP="008A06BF">
      <w:pPr>
        <w:jc w:val="both"/>
        <w:rPr>
          <w:rFonts w:ascii="Century Gothic" w:hAnsi="Century Gothic"/>
          <w:b/>
          <w:bCs/>
          <w:sz w:val="22"/>
          <w:szCs w:val="22"/>
        </w:rPr>
      </w:pPr>
      <w:r w:rsidRPr="00EE2438">
        <w:rPr>
          <w:rFonts w:ascii="Century Gothic" w:hAnsi="Century Gothic"/>
          <w:b/>
          <w:bCs/>
          <w:sz w:val="22"/>
          <w:szCs w:val="22"/>
        </w:rPr>
        <w:t>2. Manejo excepcional del canon de arrendamiento correspondiente a agosto de 2026</w:t>
      </w:r>
      <w:r w:rsidR="00EE2438">
        <w:rPr>
          <w:rFonts w:ascii="Century Gothic" w:hAnsi="Century Gothic"/>
          <w:b/>
          <w:bCs/>
          <w:sz w:val="22"/>
          <w:szCs w:val="22"/>
        </w:rPr>
        <w:t xml:space="preserve">: </w:t>
      </w:r>
      <w:r w:rsidRPr="008A06BF">
        <w:rPr>
          <w:rFonts w:ascii="Century Gothic" w:hAnsi="Century Gothic"/>
          <w:sz w:val="22"/>
          <w:szCs w:val="22"/>
        </w:rPr>
        <w:t>Como consecuencia del evento sísmico y de la necesidad de verificar las condiciones de habitabilidad y seguridad de los inmuebles, el canon de arrendamiento correspondiente al mes de agosto de 2026 tendrá un manejo excepcional y diferente al procedimiento habitual de pago.</w:t>
      </w:r>
    </w:p>
    <w:p w14:paraId="3F829AA2" w14:textId="0D4D59EE"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 xml:space="preserve">En consecuencia, respecto de aquellos cánones de agosto que a la fecha no hayan sido pagados por los arrendatarios, no se realizará el pago anticipado al propietario mientras se adelantan las validaciones correspondientes, </w:t>
      </w:r>
      <w:r w:rsidR="000E2246">
        <w:rPr>
          <w:rFonts w:ascii="Century Gothic" w:hAnsi="Century Gothic"/>
          <w:sz w:val="22"/>
          <w:szCs w:val="22"/>
        </w:rPr>
        <w:t>conforme el punto anterior.</w:t>
      </w:r>
    </w:p>
    <w:p w14:paraId="10732174"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Esta medida permitirá establecer, con base en las condiciones particulares de cada predio, los reportes efectuados, las verificaciones realizadas y los soportes técnicos disponibles, el tratamiento jurídico y contractual que corresponda.</w:t>
      </w:r>
    </w:p>
    <w:p w14:paraId="2BD7287F"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Es importante precisar que esta medida no constituye una suspensión generalizada de los contratos de arrendamiento ni implica, por sí misma, su terminación. La evaluación se realizará de manera individual, atendiendo las circunstancias efectivamente acreditadas en cada inmueble.</w:t>
      </w:r>
    </w:p>
    <w:p w14:paraId="75A09B4E" w14:textId="61BE9B2A" w:rsidR="008A06BF" w:rsidRPr="00EE2438" w:rsidRDefault="008A06BF" w:rsidP="008A06BF">
      <w:pPr>
        <w:jc w:val="both"/>
        <w:rPr>
          <w:rFonts w:ascii="Century Gothic" w:hAnsi="Century Gothic"/>
          <w:b/>
          <w:bCs/>
          <w:sz w:val="22"/>
          <w:szCs w:val="22"/>
        </w:rPr>
      </w:pPr>
      <w:r w:rsidRPr="00EE2438">
        <w:rPr>
          <w:rFonts w:ascii="Century Gothic" w:hAnsi="Century Gothic"/>
          <w:b/>
          <w:bCs/>
          <w:sz w:val="22"/>
          <w:szCs w:val="22"/>
        </w:rPr>
        <w:t>3. Gestión de seguros y copropiedades – Propiedad Horizontal</w:t>
      </w:r>
      <w:r w:rsidR="00EE2438">
        <w:rPr>
          <w:rFonts w:ascii="Century Gothic" w:hAnsi="Century Gothic"/>
          <w:b/>
          <w:bCs/>
          <w:sz w:val="22"/>
          <w:szCs w:val="22"/>
        </w:rPr>
        <w:t xml:space="preserve">: </w:t>
      </w:r>
      <w:r w:rsidRPr="008A06BF">
        <w:rPr>
          <w:rFonts w:ascii="Century Gothic" w:hAnsi="Century Gothic"/>
          <w:sz w:val="22"/>
          <w:szCs w:val="22"/>
        </w:rPr>
        <w:t xml:space="preserve">En caso de presentarse daños o afectaciones, es importante tener en cuenta que la ruta de atención puede variar </w:t>
      </w:r>
      <w:r w:rsidRPr="008A06BF">
        <w:rPr>
          <w:rFonts w:ascii="Century Gothic" w:hAnsi="Century Gothic"/>
          <w:sz w:val="22"/>
          <w:szCs w:val="22"/>
        </w:rPr>
        <w:lastRenderedPageBreak/>
        <w:t>dependiendo de la naturaleza del inmueble y del lugar en el que se haya producido la afectación</w:t>
      </w:r>
      <w:r w:rsidR="00EE2438">
        <w:rPr>
          <w:rFonts w:ascii="Century Gothic" w:hAnsi="Century Gothic"/>
          <w:sz w:val="22"/>
          <w:szCs w:val="22"/>
        </w:rPr>
        <w:t>, z</w:t>
      </w:r>
      <w:r w:rsidRPr="008A06BF">
        <w:rPr>
          <w:rFonts w:ascii="Century Gothic" w:hAnsi="Century Gothic"/>
          <w:sz w:val="22"/>
          <w:szCs w:val="22"/>
        </w:rPr>
        <w:t>onas comunes y elementos estructurales de la copropiedad</w:t>
      </w:r>
      <w:r w:rsidR="00EE2438">
        <w:rPr>
          <w:rFonts w:ascii="Century Gothic" w:hAnsi="Century Gothic"/>
          <w:sz w:val="22"/>
          <w:szCs w:val="22"/>
        </w:rPr>
        <w:t>.</w:t>
      </w:r>
    </w:p>
    <w:p w14:paraId="2D72F3DA"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En los inmuebles sometidos al régimen de Propiedad Horizontal, cuando las afectaciones correspondan a zonas comunes, elementos estructurales, fachadas u otros bienes o elementos cuya atención corresponda a la copropiedad, recomendamos al propietario mantenerse atento a las gestiones que adelante la administración de la copropiedad ante la aseguradora correspondiente.</w:t>
      </w:r>
    </w:p>
    <w:p w14:paraId="2E01B70E"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Cuando exista una póliza contratada por la copropiedad que contemple cobertura para eventos sísmicos, será dicha administración, de acuerdo con sus competencias y condiciones de aseguramiento, la encargada de adelantar las gestiones correspondientes ante la compañía aseguradora.</w:t>
      </w:r>
    </w:p>
    <w:p w14:paraId="12D86B28"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Estas actuaciones permitirán determinar las condiciones de seguridad y estructurales del edificio y establecer las medidas de reparación que correspondan.</w:t>
      </w:r>
    </w:p>
    <w:p w14:paraId="1F908701"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Cuando los daños se presenten al interior de la unidad privada, recomendamos al propietario verificar la existencia de seguros particulares de hogar, daños o contenidos, en caso de contar con ellos, y consultar directamente con la respectiva compañía aseguradora las coberturas aplicables al evento sísmico.</w:t>
      </w:r>
    </w:p>
    <w:p w14:paraId="0697F1BB"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De igual manera, cuando el inmueble se encuentre asociado a un crédito hipotecario o a un contrato de leasing habitacional, recomendamos al propietario consultar directamente con la entidad financiera correspondiente la existencia, vigencia y alcance de la póliza asociada al inmueble, así como el procedimiento para presentar una eventual reclamación por daños derivados del evento sísmico.</w:t>
      </w:r>
    </w:p>
    <w:p w14:paraId="0E214789"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En todos los casos, la procedencia de la cobertura, sus condiciones, exclusiones, deducibles y alcance dependerán de lo establecido en cada póliza y de la evaluación que realice la respectiva compañía aseguradora.</w:t>
      </w:r>
    </w:p>
    <w:p w14:paraId="2DC219E1"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Por lo anterior, recomendamos adelantar oportunamente estas consultas y, cuando corresponda, activar las reclamaciones ante las aseguradoras, con el propósito de gestionar los daños que eventualmente se encuentren amparados.</w:t>
      </w:r>
    </w:p>
    <w:p w14:paraId="41D956B1" w14:textId="287D257C" w:rsidR="008A06BF" w:rsidRPr="00C922FD" w:rsidRDefault="008A06BF" w:rsidP="008A06BF">
      <w:pPr>
        <w:jc w:val="both"/>
        <w:rPr>
          <w:rFonts w:ascii="Century Gothic" w:hAnsi="Century Gothic"/>
          <w:b/>
          <w:bCs/>
          <w:sz w:val="22"/>
          <w:szCs w:val="22"/>
        </w:rPr>
      </w:pPr>
      <w:r w:rsidRPr="00C922FD">
        <w:rPr>
          <w:rFonts w:ascii="Century Gothic" w:hAnsi="Century Gothic"/>
          <w:b/>
          <w:bCs/>
          <w:sz w:val="22"/>
          <w:szCs w:val="22"/>
        </w:rPr>
        <w:t>4. Gestión que debe adelantar el propietario</w:t>
      </w:r>
      <w:r w:rsidR="00C922FD">
        <w:rPr>
          <w:rFonts w:ascii="Century Gothic" w:hAnsi="Century Gothic"/>
          <w:b/>
          <w:bCs/>
          <w:sz w:val="22"/>
          <w:szCs w:val="22"/>
        </w:rPr>
        <w:t xml:space="preserve">: </w:t>
      </w:r>
      <w:r w:rsidRPr="008A06BF">
        <w:rPr>
          <w:rFonts w:ascii="Century Gothic" w:hAnsi="Century Gothic"/>
          <w:sz w:val="22"/>
          <w:szCs w:val="22"/>
        </w:rPr>
        <w:t>Con el propósito de facilitar la atención de cada inmueble y contribuir a una adecuada gestión de la contingencia, recomendamos a los propietarios:</w:t>
      </w:r>
    </w:p>
    <w:p w14:paraId="49DFA7F5" w14:textId="77777777" w:rsidR="008A06BF" w:rsidRPr="00C922FD" w:rsidRDefault="008A06BF" w:rsidP="00C922FD">
      <w:pPr>
        <w:pStyle w:val="Prrafodelista"/>
        <w:numPr>
          <w:ilvl w:val="0"/>
          <w:numId w:val="2"/>
        </w:numPr>
        <w:jc w:val="both"/>
        <w:rPr>
          <w:rFonts w:ascii="Century Gothic" w:hAnsi="Century Gothic"/>
          <w:sz w:val="22"/>
          <w:szCs w:val="22"/>
        </w:rPr>
      </w:pPr>
      <w:r w:rsidRPr="00C922FD">
        <w:rPr>
          <w:rFonts w:ascii="Century Gothic" w:hAnsi="Century Gothic"/>
          <w:sz w:val="22"/>
          <w:szCs w:val="22"/>
        </w:rPr>
        <w:t>Informar oportunamente a la inmobiliaria sobre cualquier daño o afectación que conozcan respecto del inmueble.</w:t>
      </w:r>
    </w:p>
    <w:p w14:paraId="0D0C7AD2" w14:textId="77777777" w:rsidR="008A06BF" w:rsidRPr="00C922FD" w:rsidRDefault="008A06BF" w:rsidP="00C922FD">
      <w:pPr>
        <w:pStyle w:val="Prrafodelista"/>
        <w:numPr>
          <w:ilvl w:val="0"/>
          <w:numId w:val="2"/>
        </w:numPr>
        <w:jc w:val="both"/>
        <w:rPr>
          <w:rFonts w:ascii="Century Gothic" w:hAnsi="Century Gothic"/>
          <w:sz w:val="22"/>
          <w:szCs w:val="22"/>
        </w:rPr>
      </w:pPr>
      <w:r w:rsidRPr="00C922FD">
        <w:rPr>
          <w:rFonts w:ascii="Century Gothic" w:hAnsi="Century Gothic"/>
          <w:sz w:val="22"/>
          <w:szCs w:val="22"/>
        </w:rPr>
        <w:t>Revisar las pólizas de seguro relacionadas con el inmueble y verificar las coberturas aplicables al evento sísmico.</w:t>
      </w:r>
    </w:p>
    <w:p w14:paraId="5CAF31F7" w14:textId="77777777" w:rsidR="00C922FD" w:rsidRDefault="008A06BF" w:rsidP="008A06BF">
      <w:pPr>
        <w:pStyle w:val="Prrafodelista"/>
        <w:numPr>
          <w:ilvl w:val="0"/>
          <w:numId w:val="2"/>
        </w:numPr>
        <w:jc w:val="both"/>
        <w:rPr>
          <w:rFonts w:ascii="Century Gothic" w:hAnsi="Century Gothic"/>
          <w:sz w:val="22"/>
          <w:szCs w:val="22"/>
        </w:rPr>
      </w:pPr>
      <w:r w:rsidRPr="00C922FD">
        <w:rPr>
          <w:rFonts w:ascii="Century Gothic" w:hAnsi="Century Gothic"/>
          <w:sz w:val="22"/>
          <w:szCs w:val="22"/>
        </w:rPr>
        <w:t>Cuando corresponda, adelantar oportunamente la reclamación ante la aseguradora respectiva.</w:t>
      </w:r>
    </w:p>
    <w:p w14:paraId="544ED763" w14:textId="77777777" w:rsidR="00C922FD" w:rsidRDefault="008A06BF" w:rsidP="008A06BF">
      <w:pPr>
        <w:pStyle w:val="Prrafodelista"/>
        <w:numPr>
          <w:ilvl w:val="0"/>
          <w:numId w:val="2"/>
        </w:numPr>
        <w:jc w:val="both"/>
        <w:rPr>
          <w:rFonts w:ascii="Century Gothic" w:hAnsi="Century Gothic"/>
          <w:sz w:val="22"/>
          <w:szCs w:val="22"/>
        </w:rPr>
      </w:pPr>
      <w:r w:rsidRPr="00C922FD">
        <w:rPr>
          <w:rFonts w:ascii="Century Gothic" w:hAnsi="Century Gothic"/>
          <w:sz w:val="22"/>
          <w:szCs w:val="22"/>
        </w:rPr>
        <w:lastRenderedPageBreak/>
        <w:t>En inmuebles sometidos al régimen de propiedad horizontal, mantenerse en comunicación con la administración de la copropiedad respecto de las actuaciones relacionadas con las zonas comunes, estructura, fachadas y demás elementos cuya atención corresponda a la copropiedad.</w:t>
      </w:r>
    </w:p>
    <w:p w14:paraId="0603F6AF" w14:textId="77777777" w:rsidR="00C922FD" w:rsidRDefault="008A06BF" w:rsidP="008A06BF">
      <w:pPr>
        <w:pStyle w:val="Prrafodelista"/>
        <w:numPr>
          <w:ilvl w:val="0"/>
          <w:numId w:val="2"/>
        </w:numPr>
        <w:jc w:val="both"/>
        <w:rPr>
          <w:rFonts w:ascii="Century Gothic" w:hAnsi="Century Gothic"/>
          <w:sz w:val="22"/>
          <w:szCs w:val="22"/>
        </w:rPr>
      </w:pPr>
      <w:r w:rsidRPr="00C922FD">
        <w:rPr>
          <w:rFonts w:ascii="Century Gothic" w:hAnsi="Century Gothic"/>
          <w:sz w:val="22"/>
          <w:szCs w:val="22"/>
        </w:rPr>
        <w:t>En inmuebles con crédito hipotecario o leasing habitacional, consultar con la respectiva entidad financiera sobre la póliza asociada y el procedimiento de reclamación por daños.</w:t>
      </w:r>
    </w:p>
    <w:p w14:paraId="0448A217" w14:textId="77777777" w:rsidR="00C922FD" w:rsidRDefault="008A06BF" w:rsidP="008A06BF">
      <w:pPr>
        <w:pStyle w:val="Prrafodelista"/>
        <w:numPr>
          <w:ilvl w:val="0"/>
          <w:numId w:val="2"/>
        </w:numPr>
        <w:jc w:val="both"/>
        <w:rPr>
          <w:rFonts w:ascii="Century Gothic" w:hAnsi="Century Gothic"/>
          <w:sz w:val="22"/>
          <w:szCs w:val="22"/>
        </w:rPr>
      </w:pPr>
      <w:r w:rsidRPr="00C922FD">
        <w:rPr>
          <w:rFonts w:ascii="Century Gothic" w:hAnsi="Century Gothic"/>
          <w:sz w:val="22"/>
          <w:szCs w:val="22"/>
        </w:rPr>
        <w:t>Facilitar la obtención de los conceptos, informes o soportes técnicos que sean necesarios para establecer la condición del inmueble.</w:t>
      </w:r>
    </w:p>
    <w:p w14:paraId="2A1AD64A" w14:textId="469604F2" w:rsidR="008A06BF" w:rsidRPr="00C922FD" w:rsidRDefault="008A06BF" w:rsidP="008A06BF">
      <w:pPr>
        <w:pStyle w:val="Prrafodelista"/>
        <w:numPr>
          <w:ilvl w:val="0"/>
          <w:numId w:val="2"/>
        </w:numPr>
        <w:jc w:val="both"/>
        <w:rPr>
          <w:rFonts w:ascii="Century Gothic" w:hAnsi="Century Gothic"/>
          <w:sz w:val="22"/>
          <w:szCs w:val="22"/>
        </w:rPr>
      </w:pPr>
      <w:r w:rsidRPr="00C922FD">
        <w:rPr>
          <w:rFonts w:ascii="Century Gothic" w:hAnsi="Century Gothic"/>
          <w:sz w:val="22"/>
          <w:szCs w:val="22"/>
        </w:rPr>
        <w:t>Informar a la inmobiliaria sobre cualquier concepto técnico, reclamación ante aseguradora, reparación, restricción de uso o circunstancia que pueda afectar la continuidad del contrato de arrendamiento.</w:t>
      </w:r>
    </w:p>
    <w:p w14:paraId="11A20DA9" w14:textId="1A8628A6" w:rsidR="008A06BF" w:rsidRPr="00C922FD" w:rsidRDefault="008A06BF" w:rsidP="008A06BF">
      <w:pPr>
        <w:jc w:val="both"/>
        <w:rPr>
          <w:rFonts w:ascii="Century Gothic" w:hAnsi="Century Gothic"/>
          <w:b/>
          <w:bCs/>
          <w:sz w:val="22"/>
          <w:szCs w:val="22"/>
        </w:rPr>
      </w:pPr>
      <w:r w:rsidRPr="00C922FD">
        <w:rPr>
          <w:rFonts w:ascii="Century Gothic" w:hAnsi="Century Gothic"/>
          <w:b/>
          <w:bCs/>
          <w:sz w:val="22"/>
          <w:szCs w:val="22"/>
        </w:rPr>
        <w:t>5. Marco legal, solidaridad y buena fe contractual</w:t>
      </w:r>
      <w:r w:rsidR="00C922FD">
        <w:rPr>
          <w:rFonts w:ascii="Century Gothic" w:hAnsi="Century Gothic"/>
          <w:b/>
          <w:bCs/>
          <w:sz w:val="22"/>
          <w:szCs w:val="22"/>
        </w:rPr>
        <w:t xml:space="preserve">: </w:t>
      </w:r>
      <w:r w:rsidRPr="008A06BF">
        <w:rPr>
          <w:rFonts w:ascii="Century Gothic" w:hAnsi="Century Gothic"/>
          <w:sz w:val="22"/>
          <w:szCs w:val="22"/>
        </w:rPr>
        <w:t>Como inmobiliaria, propietarios y arrendatarios, nuestra primera obligación ante esta coyuntura es actuar bajo los principios de solidaridad, buena fe y equilibrio contractual, evitando actuaciones arbitrarias o decisiones que desconozcan las circunstancias particulares de cada caso.</w:t>
      </w:r>
    </w:p>
    <w:p w14:paraId="10F2BD67"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Cuando un inmueble presenta una afectación que efectivamente impide su uso y goce, pueden generarse consecuencias jurídicas respecto de la exigibilidad del canon de arrendamiento y de la continuidad del contrato, mientras persista dicha situación.</w:t>
      </w:r>
    </w:p>
    <w:p w14:paraId="4B58C3F3"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De igual manera, la existencia de un evento sísmico no implica automáticamente que todos los contratos deban terminarse ni que todos los cánones dejen de ser exigibles. La situación deberá establecerse individualmente, atendiendo las condiciones reales de cada inmueble y los soportes que permitan acreditar su estado.</w:t>
      </w:r>
    </w:p>
    <w:p w14:paraId="27622F93"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Por esta razón, resulta fundamental que tanto propietarios como arrendatarios actúen de manera responsable, suministren información veraz y permitan adelantar las verificaciones correspondientes.</w:t>
      </w:r>
    </w:p>
    <w:p w14:paraId="1A59E995" w14:textId="659305F7" w:rsidR="008A06BF" w:rsidRPr="008A06BF" w:rsidRDefault="008A06BF" w:rsidP="008A06BF">
      <w:pPr>
        <w:jc w:val="both"/>
        <w:rPr>
          <w:rFonts w:ascii="Century Gothic" w:hAnsi="Century Gothic"/>
          <w:sz w:val="22"/>
          <w:szCs w:val="22"/>
        </w:rPr>
      </w:pPr>
      <w:r w:rsidRPr="00C922FD">
        <w:rPr>
          <w:rFonts w:ascii="Century Gothic" w:hAnsi="Century Gothic"/>
          <w:b/>
          <w:bCs/>
          <w:sz w:val="22"/>
          <w:szCs w:val="22"/>
        </w:rPr>
        <w:t>6. Llamado a la calma y paciencia</w:t>
      </w:r>
      <w:r w:rsidR="00C922FD" w:rsidRPr="00C922FD">
        <w:rPr>
          <w:rFonts w:ascii="Century Gothic" w:hAnsi="Century Gothic"/>
          <w:b/>
          <w:bCs/>
          <w:sz w:val="22"/>
          <w:szCs w:val="22"/>
        </w:rPr>
        <w:t>:</w:t>
      </w:r>
      <w:r w:rsidR="00C922FD">
        <w:rPr>
          <w:rFonts w:ascii="Century Gothic" w:hAnsi="Century Gothic"/>
          <w:sz w:val="22"/>
          <w:szCs w:val="22"/>
        </w:rPr>
        <w:t xml:space="preserve"> </w:t>
      </w:r>
      <w:r w:rsidRPr="008A06BF">
        <w:rPr>
          <w:rFonts w:ascii="Century Gothic" w:hAnsi="Century Gothic"/>
          <w:sz w:val="22"/>
          <w:szCs w:val="22"/>
        </w:rPr>
        <w:t>Para llevar a buen término esta gestión requerimos de la colaboración, calma, sensatez y paciencia de todos los involucrados.</w:t>
      </w:r>
    </w:p>
    <w:p w14:paraId="0662BAB2"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Los tiempos de respuesta y ejecución pueden depender de la disponibilidad de peritos, ingenieros, técnicos, aseguradoras, administraciones de propiedad horizontal y organismos competentes, quienes pueden encontrarse atendiendo un volumen extraordinario de solicitudes como consecuencia del evento.</w:t>
      </w:r>
    </w:p>
    <w:p w14:paraId="14A0EFAC"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Nuestra inmobiliaria realizará seguimiento a cada situación y mantendrá informados a los propietarios sobre los avances y novedades particulares de sus inmuebles.</w:t>
      </w:r>
    </w:p>
    <w:p w14:paraId="7D174504"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 xml:space="preserve">Agradecemos enormemente su confianza, comprensión y colaboración para superar juntos esta contingencia. Nuestro compromiso es actuar de manera responsable, transparente y </w:t>
      </w:r>
      <w:r w:rsidRPr="008A06BF">
        <w:rPr>
          <w:rFonts w:ascii="Century Gothic" w:hAnsi="Century Gothic"/>
          <w:sz w:val="22"/>
          <w:szCs w:val="22"/>
        </w:rPr>
        <w:lastRenderedPageBreak/>
        <w:t>conforme al marco legal y contractual aplicable, procurando en todo momento la protección de los intereses de propietarios y arrendatarios.</w:t>
      </w:r>
    </w:p>
    <w:p w14:paraId="00BF98C0" w14:textId="77777777" w:rsidR="008A06BF" w:rsidRPr="008A06BF" w:rsidRDefault="008A06BF" w:rsidP="008A06BF">
      <w:pPr>
        <w:jc w:val="both"/>
        <w:rPr>
          <w:rFonts w:ascii="Century Gothic" w:hAnsi="Century Gothic"/>
          <w:sz w:val="22"/>
          <w:szCs w:val="22"/>
        </w:rPr>
      </w:pPr>
      <w:r w:rsidRPr="008A06BF">
        <w:rPr>
          <w:rFonts w:ascii="Century Gothic" w:hAnsi="Century Gothic"/>
          <w:sz w:val="22"/>
          <w:szCs w:val="22"/>
        </w:rPr>
        <w:t>Cordialmente,</w:t>
      </w:r>
    </w:p>
    <w:p w14:paraId="67A54F26" w14:textId="77777777" w:rsidR="008A06BF" w:rsidRPr="008A06BF" w:rsidRDefault="008A06BF" w:rsidP="008A06BF">
      <w:pPr>
        <w:jc w:val="both"/>
        <w:rPr>
          <w:rFonts w:ascii="Century Gothic" w:hAnsi="Century Gothic"/>
          <w:sz w:val="22"/>
          <w:szCs w:val="22"/>
        </w:rPr>
      </w:pPr>
    </w:p>
    <w:sectPr w:rsidR="008A06BF" w:rsidRPr="008A06BF" w:rsidSect="008A06BF">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FA8"/>
    <w:multiLevelType w:val="multilevel"/>
    <w:tmpl w:val="B12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451544"/>
    <w:multiLevelType w:val="hybridMultilevel"/>
    <w:tmpl w:val="3BDE37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17963711">
    <w:abstractNumId w:val="0"/>
  </w:num>
  <w:num w:numId="2" w16cid:durableId="397092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6BF"/>
    <w:rsid w:val="000E2246"/>
    <w:rsid w:val="004B291A"/>
    <w:rsid w:val="005D51BD"/>
    <w:rsid w:val="008A06BF"/>
    <w:rsid w:val="00C922FD"/>
    <w:rsid w:val="00EE24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EDE9"/>
  <w15:chartTrackingRefBased/>
  <w15:docId w15:val="{29FFD035-4752-4184-BD12-FEDE966F9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A06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A06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A06B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A06B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A06B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A06B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A06B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A06B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A06B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06B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A06B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A06B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A06B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A06B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A06B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A06B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A06B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A06BF"/>
    <w:rPr>
      <w:rFonts w:eastAsiaTheme="majorEastAsia" w:cstheme="majorBidi"/>
      <w:color w:val="272727" w:themeColor="text1" w:themeTint="D8"/>
    </w:rPr>
  </w:style>
  <w:style w:type="paragraph" w:styleId="Ttulo">
    <w:name w:val="Title"/>
    <w:basedOn w:val="Normal"/>
    <w:next w:val="Normal"/>
    <w:link w:val="TtuloCar"/>
    <w:uiPriority w:val="10"/>
    <w:qFormat/>
    <w:rsid w:val="008A0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A06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A06B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A06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A06BF"/>
    <w:pPr>
      <w:spacing w:before="160"/>
      <w:jc w:val="center"/>
    </w:pPr>
    <w:rPr>
      <w:i/>
      <w:iCs/>
      <w:color w:val="404040" w:themeColor="text1" w:themeTint="BF"/>
    </w:rPr>
  </w:style>
  <w:style w:type="character" w:customStyle="1" w:styleId="CitaCar">
    <w:name w:val="Cita Car"/>
    <w:basedOn w:val="Fuentedeprrafopredeter"/>
    <w:link w:val="Cita"/>
    <w:uiPriority w:val="29"/>
    <w:rsid w:val="008A06BF"/>
    <w:rPr>
      <w:i/>
      <w:iCs/>
      <w:color w:val="404040" w:themeColor="text1" w:themeTint="BF"/>
    </w:rPr>
  </w:style>
  <w:style w:type="paragraph" w:styleId="Prrafodelista">
    <w:name w:val="List Paragraph"/>
    <w:basedOn w:val="Normal"/>
    <w:uiPriority w:val="34"/>
    <w:qFormat/>
    <w:rsid w:val="008A06BF"/>
    <w:pPr>
      <w:ind w:left="720"/>
      <w:contextualSpacing/>
    </w:pPr>
  </w:style>
  <w:style w:type="character" w:styleId="nfasisintenso">
    <w:name w:val="Intense Emphasis"/>
    <w:basedOn w:val="Fuentedeprrafopredeter"/>
    <w:uiPriority w:val="21"/>
    <w:qFormat/>
    <w:rsid w:val="008A06BF"/>
    <w:rPr>
      <w:i/>
      <w:iCs/>
      <w:color w:val="2F5496" w:themeColor="accent1" w:themeShade="BF"/>
    </w:rPr>
  </w:style>
  <w:style w:type="paragraph" w:styleId="Citadestacada">
    <w:name w:val="Intense Quote"/>
    <w:basedOn w:val="Normal"/>
    <w:next w:val="Normal"/>
    <w:link w:val="CitadestacadaCar"/>
    <w:uiPriority w:val="30"/>
    <w:qFormat/>
    <w:rsid w:val="008A0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A06BF"/>
    <w:rPr>
      <w:i/>
      <w:iCs/>
      <w:color w:val="2F5496" w:themeColor="accent1" w:themeShade="BF"/>
    </w:rPr>
  </w:style>
  <w:style w:type="character" w:styleId="Referenciaintensa">
    <w:name w:val="Intense Reference"/>
    <w:basedOn w:val="Fuentedeprrafopredeter"/>
    <w:uiPriority w:val="32"/>
    <w:qFormat/>
    <w:rsid w:val="008A06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1226</Words>
  <Characters>6747</Characters>
  <Application>Microsoft Office Word</Application>
  <DocSecurity>0</DocSecurity>
  <Lines>56</Lines>
  <Paragraphs>15</Paragraphs>
  <ScaleCrop>false</ScaleCrop>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Lizeth Vianney Agredo Casanova</dc:creator>
  <cp:keywords/>
  <dc:description/>
  <cp:lastModifiedBy>Lizeth Vianney Agredo Casanova</cp:lastModifiedBy>
  <cp:revision>1</cp:revision>
  <dcterms:created xsi:type="dcterms:W3CDTF">2026-08-11T20:38:00Z</dcterms:created>
  <dcterms:modified xsi:type="dcterms:W3CDTF">2026-08-11T21:25:00Z</dcterms:modified>
</cp:coreProperties>
</file>